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33C8CC" w14:textId="764635F1" w:rsidR="005E768F" w:rsidRPr="0076582E" w:rsidRDefault="002F667D" w:rsidP="00130A7F">
      <w:pPr>
        <w:pStyle w:val="ScopeofWork"/>
      </w:pPr>
      <w:proofErr w:type="spellStart"/>
      <w:r>
        <w:t>OpenDSS</w:t>
      </w:r>
      <w:proofErr w:type="spellEnd"/>
      <w:r>
        <w:t xml:space="preserve"> Features</w:t>
      </w:r>
    </w:p>
    <w:p w14:paraId="2202699B" w14:textId="487882E3" w:rsidR="006E489E" w:rsidRPr="0076582E" w:rsidRDefault="0015176A" w:rsidP="00130A7F">
      <w:pPr>
        <w:pStyle w:val="Scope2"/>
      </w:pPr>
      <w:r>
        <w:t>Model Partitioning</w:t>
      </w:r>
      <w:r w:rsidR="002F667D">
        <w:t xml:space="preserve"> Assistan</w:t>
      </w:r>
      <w:r w:rsidR="56E9D2E0">
        <w:t>t</w:t>
      </w:r>
    </w:p>
    <w:p w14:paraId="519A3387" w14:textId="7C809BAC" w:rsidR="006E489E" w:rsidRDefault="7C217865" w:rsidP="00130A7F">
      <w:r w:rsidRPr="7C217865">
        <w:rPr>
          <w:b/>
          <w:bCs/>
        </w:rPr>
        <w:t xml:space="preserve">Abstract: </w:t>
      </w:r>
      <w:r>
        <w:t xml:space="preserve">This document describes the main aspects of modeling and usage of the Model Partitioning Assistance feature provided in the </w:t>
      </w:r>
      <w:proofErr w:type="spellStart"/>
      <w:r>
        <w:t>OpenDSS</w:t>
      </w:r>
      <w:proofErr w:type="spellEnd"/>
      <w:r>
        <w:t xml:space="preserve"> library.</w:t>
      </w:r>
    </w:p>
    <w:sdt>
      <w:sdtPr>
        <w:rPr>
          <w:rFonts w:ascii="Helvetica" w:eastAsiaTheme="minorHAnsi" w:hAnsi="Helvetica" w:cstheme="minorBidi"/>
          <w:caps w:val="0"/>
          <w:color w:val="auto"/>
          <w:sz w:val="22"/>
          <w:szCs w:val="22"/>
        </w:rPr>
        <w:id w:val="-1406986967"/>
        <w:docPartObj>
          <w:docPartGallery w:val="Table of Contents"/>
          <w:docPartUnique/>
        </w:docPartObj>
      </w:sdtPr>
      <w:sdtEndPr>
        <w:rPr>
          <w:noProof/>
        </w:rPr>
      </w:sdtEndPr>
      <w:sdtContent>
        <w:p w14:paraId="2CF834AF" w14:textId="1F749201" w:rsidR="00084104" w:rsidRDefault="00084104" w:rsidP="00130A7F">
          <w:pPr>
            <w:pStyle w:val="TOCHeading"/>
          </w:pPr>
          <w:r>
            <w:t>Contents</w:t>
          </w:r>
        </w:p>
        <w:p w14:paraId="2575383E" w14:textId="67EB6142" w:rsidR="00AC25E0" w:rsidRDefault="00D36463">
          <w:pPr>
            <w:pStyle w:val="TOC2"/>
            <w:tabs>
              <w:tab w:val="right" w:leader="dot" w:pos="9620"/>
            </w:tabs>
            <w:rPr>
              <w:rFonts w:eastAsiaTheme="minorEastAsia" w:cstheme="minorBidi"/>
              <w:smallCaps w:val="0"/>
              <w:noProof/>
              <w:kern w:val="2"/>
              <w:sz w:val="22"/>
              <w:szCs w:val="22"/>
              <w:lang w:val="pt-BR" w:eastAsia="pt-BR"/>
              <w14:ligatures w14:val="standardContextual"/>
            </w:rPr>
          </w:pPr>
          <w:r w:rsidRPr="00D36463">
            <w:rPr>
              <w:rFonts w:ascii="Helvetica" w:hAnsi="Helvetica"/>
              <w:b/>
              <w:bCs/>
              <w:sz w:val="22"/>
              <w:szCs w:val="22"/>
            </w:rPr>
            <w:fldChar w:fldCharType="begin"/>
          </w:r>
          <w:r w:rsidRPr="00D36463">
            <w:rPr>
              <w:rFonts w:ascii="Helvetica" w:hAnsi="Helvetica"/>
              <w:sz w:val="22"/>
              <w:szCs w:val="22"/>
            </w:rPr>
            <w:instrText xml:space="preserve"> TOC \o "1-3" \h \z \u </w:instrText>
          </w:r>
          <w:r w:rsidRPr="00D36463">
            <w:rPr>
              <w:rFonts w:ascii="Helvetica" w:hAnsi="Helvetica"/>
              <w:b/>
              <w:bCs/>
              <w:sz w:val="22"/>
              <w:szCs w:val="22"/>
            </w:rPr>
            <w:fldChar w:fldCharType="separate"/>
          </w:r>
          <w:hyperlink w:anchor="_Toc141950355" w:history="1">
            <w:r w:rsidR="00AC25E0" w:rsidRPr="00421ACE">
              <w:rPr>
                <w:rStyle w:val="Hyperlink"/>
                <w:noProof/>
              </w:rPr>
              <w:t>Introduction</w:t>
            </w:r>
            <w:r w:rsidR="00AC25E0">
              <w:rPr>
                <w:noProof/>
                <w:webHidden/>
              </w:rPr>
              <w:tab/>
            </w:r>
            <w:r w:rsidR="00AC25E0">
              <w:rPr>
                <w:noProof/>
                <w:webHidden/>
              </w:rPr>
              <w:fldChar w:fldCharType="begin"/>
            </w:r>
            <w:r w:rsidR="00AC25E0">
              <w:rPr>
                <w:noProof/>
                <w:webHidden/>
              </w:rPr>
              <w:instrText xml:space="preserve"> PAGEREF _Toc141950355 \h </w:instrText>
            </w:r>
            <w:r w:rsidR="00AC25E0">
              <w:rPr>
                <w:noProof/>
                <w:webHidden/>
              </w:rPr>
            </w:r>
            <w:r w:rsidR="00AC25E0">
              <w:rPr>
                <w:noProof/>
                <w:webHidden/>
              </w:rPr>
              <w:fldChar w:fldCharType="separate"/>
            </w:r>
            <w:r w:rsidR="000F35BD">
              <w:rPr>
                <w:noProof/>
                <w:webHidden/>
              </w:rPr>
              <w:t>1</w:t>
            </w:r>
            <w:r w:rsidR="00AC25E0">
              <w:rPr>
                <w:noProof/>
                <w:webHidden/>
              </w:rPr>
              <w:fldChar w:fldCharType="end"/>
            </w:r>
          </w:hyperlink>
        </w:p>
        <w:p w14:paraId="1CFB5C4C" w14:textId="1A9722E5" w:rsidR="00AC25E0" w:rsidRDefault="00000000">
          <w:pPr>
            <w:pStyle w:val="TOC3"/>
            <w:tabs>
              <w:tab w:val="right" w:leader="dot" w:pos="9620"/>
            </w:tabs>
            <w:rPr>
              <w:rFonts w:eastAsiaTheme="minorEastAsia" w:cstheme="minorBidi"/>
              <w:i w:val="0"/>
              <w:iCs w:val="0"/>
              <w:noProof/>
              <w:kern w:val="2"/>
              <w:sz w:val="22"/>
              <w:szCs w:val="22"/>
              <w:lang w:val="pt-BR" w:eastAsia="pt-BR"/>
              <w14:ligatures w14:val="standardContextual"/>
            </w:rPr>
          </w:pPr>
          <w:hyperlink w:anchor="_Toc141950356" w:history="1">
            <w:r w:rsidR="00AC25E0" w:rsidRPr="00421ACE">
              <w:rPr>
                <w:rStyle w:val="Hyperlink"/>
                <w:noProof/>
              </w:rPr>
              <w:t>Background</w:t>
            </w:r>
            <w:r w:rsidR="00AC25E0">
              <w:rPr>
                <w:noProof/>
                <w:webHidden/>
              </w:rPr>
              <w:tab/>
            </w:r>
            <w:r w:rsidR="00AC25E0">
              <w:rPr>
                <w:noProof/>
                <w:webHidden/>
              </w:rPr>
              <w:fldChar w:fldCharType="begin"/>
            </w:r>
            <w:r w:rsidR="00AC25E0">
              <w:rPr>
                <w:noProof/>
                <w:webHidden/>
              </w:rPr>
              <w:instrText xml:space="preserve"> PAGEREF _Toc141950356 \h </w:instrText>
            </w:r>
            <w:r w:rsidR="00AC25E0">
              <w:rPr>
                <w:noProof/>
                <w:webHidden/>
              </w:rPr>
            </w:r>
            <w:r w:rsidR="00AC25E0">
              <w:rPr>
                <w:noProof/>
                <w:webHidden/>
              </w:rPr>
              <w:fldChar w:fldCharType="separate"/>
            </w:r>
            <w:r w:rsidR="000F35BD">
              <w:rPr>
                <w:noProof/>
                <w:webHidden/>
              </w:rPr>
              <w:t>1</w:t>
            </w:r>
            <w:r w:rsidR="00AC25E0">
              <w:rPr>
                <w:noProof/>
                <w:webHidden/>
              </w:rPr>
              <w:fldChar w:fldCharType="end"/>
            </w:r>
          </w:hyperlink>
        </w:p>
        <w:p w14:paraId="721084CE" w14:textId="47B661E1" w:rsidR="00AC25E0" w:rsidRDefault="00000000">
          <w:pPr>
            <w:pStyle w:val="TOC3"/>
            <w:tabs>
              <w:tab w:val="right" w:leader="dot" w:pos="9620"/>
            </w:tabs>
            <w:rPr>
              <w:rFonts w:eastAsiaTheme="minorEastAsia" w:cstheme="minorBidi"/>
              <w:i w:val="0"/>
              <w:iCs w:val="0"/>
              <w:noProof/>
              <w:kern w:val="2"/>
              <w:sz w:val="22"/>
              <w:szCs w:val="22"/>
              <w:lang w:val="pt-BR" w:eastAsia="pt-BR"/>
              <w14:ligatures w14:val="standardContextual"/>
            </w:rPr>
          </w:pPr>
          <w:hyperlink w:anchor="_Toc141950357" w:history="1">
            <w:r w:rsidR="00AC25E0" w:rsidRPr="00421ACE">
              <w:rPr>
                <w:rStyle w:val="Hyperlink"/>
                <w:noProof/>
              </w:rPr>
              <w:t>Component Description</w:t>
            </w:r>
            <w:r w:rsidR="00AC25E0">
              <w:rPr>
                <w:noProof/>
                <w:webHidden/>
              </w:rPr>
              <w:tab/>
            </w:r>
            <w:r w:rsidR="00AC25E0">
              <w:rPr>
                <w:noProof/>
                <w:webHidden/>
              </w:rPr>
              <w:fldChar w:fldCharType="begin"/>
            </w:r>
            <w:r w:rsidR="00AC25E0">
              <w:rPr>
                <w:noProof/>
                <w:webHidden/>
              </w:rPr>
              <w:instrText xml:space="preserve"> PAGEREF _Toc141950357 \h </w:instrText>
            </w:r>
            <w:r w:rsidR="00AC25E0">
              <w:rPr>
                <w:noProof/>
                <w:webHidden/>
              </w:rPr>
            </w:r>
            <w:r w:rsidR="00AC25E0">
              <w:rPr>
                <w:noProof/>
                <w:webHidden/>
              </w:rPr>
              <w:fldChar w:fldCharType="separate"/>
            </w:r>
            <w:r w:rsidR="000F35BD">
              <w:rPr>
                <w:noProof/>
                <w:webHidden/>
              </w:rPr>
              <w:t>3</w:t>
            </w:r>
            <w:r w:rsidR="00AC25E0">
              <w:rPr>
                <w:noProof/>
                <w:webHidden/>
              </w:rPr>
              <w:fldChar w:fldCharType="end"/>
            </w:r>
          </w:hyperlink>
        </w:p>
        <w:p w14:paraId="7EC3D1B0" w14:textId="397F3D20" w:rsidR="00AC25E0" w:rsidRDefault="00000000">
          <w:pPr>
            <w:pStyle w:val="TOC2"/>
            <w:tabs>
              <w:tab w:val="right" w:leader="dot" w:pos="9620"/>
            </w:tabs>
            <w:rPr>
              <w:rFonts w:eastAsiaTheme="minorEastAsia" w:cstheme="minorBidi"/>
              <w:smallCaps w:val="0"/>
              <w:noProof/>
              <w:kern w:val="2"/>
              <w:sz w:val="22"/>
              <w:szCs w:val="22"/>
              <w:lang w:val="pt-BR" w:eastAsia="pt-BR"/>
              <w14:ligatures w14:val="standardContextual"/>
            </w:rPr>
          </w:pPr>
          <w:hyperlink w:anchor="_Toc141950358" w:history="1">
            <w:r w:rsidR="00AC25E0" w:rsidRPr="00421ACE">
              <w:rPr>
                <w:rStyle w:val="Hyperlink"/>
                <w:noProof/>
              </w:rPr>
              <w:t>Example</w:t>
            </w:r>
            <w:r w:rsidR="00AC25E0">
              <w:rPr>
                <w:noProof/>
                <w:webHidden/>
              </w:rPr>
              <w:tab/>
            </w:r>
            <w:r w:rsidR="00AC25E0">
              <w:rPr>
                <w:noProof/>
                <w:webHidden/>
              </w:rPr>
              <w:fldChar w:fldCharType="begin"/>
            </w:r>
            <w:r w:rsidR="00AC25E0">
              <w:rPr>
                <w:noProof/>
                <w:webHidden/>
              </w:rPr>
              <w:instrText xml:space="preserve"> PAGEREF _Toc141950358 \h </w:instrText>
            </w:r>
            <w:r w:rsidR="00AC25E0">
              <w:rPr>
                <w:noProof/>
                <w:webHidden/>
              </w:rPr>
            </w:r>
            <w:r w:rsidR="00AC25E0">
              <w:rPr>
                <w:noProof/>
                <w:webHidden/>
              </w:rPr>
              <w:fldChar w:fldCharType="separate"/>
            </w:r>
            <w:r w:rsidR="000F35BD">
              <w:rPr>
                <w:noProof/>
                <w:webHidden/>
              </w:rPr>
              <w:t>5</w:t>
            </w:r>
            <w:r w:rsidR="00AC25E0">
              <w:rPr>
                <w:noProof/>
                <w:webHidden/>
              </w:rPr>
              <w:fldChar w:fldCharType="end"/>
            </w:r>
          </w:hyperlink>
        </w:p>
        <w:p w14:paraId="39503AB5" w14:textId="25C4CA9D" w:rsidR="00AC25E0" w:rsidRDefault="00000000">
          <w:pPr>
            <w:pStyle w:val="TOC3"/>
            <w:tabs>
              <w:tab w:val="right" w:leader="dot" w:pos="9620"/>
            </w:tabs>
            <w:rPr>
              <w:rFonts w:eastAsiaTheme="minorEastAsia" w:cstheme="minorBidi"/>
              <w:i w:val="0"/>
              <w:iCs w:val="0"/>
              <w:noProof/>
              <w:kern w:val="2"/>
              <w:sz w:val="22"/>
              <w:szCs w:val="22"/>
              <w:lang w:val="pt-BR" w:eastAsia="pt-BR"/>
              <w14:ligatures w14:val="standardContextual"/>
            </w:rPr>
          </w:pPr>
          <w:hyperlink w:anchor="_Toc141950359" w:history="1">
            <w:r w:rsidR="00AC25E0" w:rsidRPr="00421ACE">
              <w:rPr>
                <w:rStyle w:val="Hyperlink"/>
                <w:noProof/>
              </w:rPr>
              <w:t>Manual Mode</w:t>
            </w:r>
            <w:r w:rsidR="00AC25E0">
              <w:rPr>
                <w:noProof/>
                <w:webHidden/>
              </w:rPr>
              <w:tab/>
            </w:r>
            <w:r w:rsidR="00AC25E0">
              <w:rPr>
                <w:noProof/>
                <w:webHidden/>
              </w:rPr>
              <w:fldChar w:fldCharType="begin"/>
            </w:r>
            <w:r w:rsidR="00AC25E0">
              <w:rPr>
                <w:noProof/>
                <w:webHidden/>
              </w:rPr>
              <w:instrText xml:space="preserve"> PAGEREF _Toc141950359 \h </w:instrText>
            </w:r>
            <w:r w:rsidR="00AC25E0">
              <w:rPr>
                <w:noProof/>
                <w:webHidden/>
              </w:rPr>
            </w:r>
            <w:r w:rsidR="00AC25E0">
              <w:rPr>
                <w:noProof/>
                <w:webHidden/>
              </w:rPr>
              <w:fldChar w:fldCharType="separate"/>
            </w:r>
            <w:r w:rsidR="000F35BD">
              <w:rPr>
                <w:noProof/>
                <w:webHidden/>
              </w:rPr>
              <w:t>6</w:t>
            </w:r>
            <w:r w:rsidR="00AC25E0">
              <w:rPr>
                <w:noProof/>
                <w:webHidden/>
              </w:rPr>
              <w:fldChar w:fldCharType="end"/>
            </w:r>
          </w:hyperlink>
        </w:p>
        <w:p w14:paraId="55E90FA3" w14:textId="00B2066F" w:rsidR="00AC25E0" w:rsidRDefault="00000000">
          <w:pPr>
            <w:pStyle w:val="TOC3"/>
            <w:tabs>
              <w:tab w:val="right" w:leader="dot" w:pos="9620"/>
            </w:tabs>
            <w:rPr>
              <w:rFonts w:eastAsiaTheme="minorEastAsia" w:cstheme="minorBidi"/>
              <w:i w:val="0"/>
              <w:iCs w:val="0"/>
              <w:noProof/>
              <w:kern w:val="2"/>
              <w:sz w:val="22"/>
              <w:szCs w:val="22"/>
              <w:lang w:val="pt-BR" w:eastAsia="pt-BR"/>
              <w14:ligatures w14:val="standardContextual"/>
            </w:rPr>
          </w:pPr>
          <w:hyperlink w:anchor="_Toc141950360" w:history="1">
            <w:r w:rsidR="00AC25E0" w:rsidRPr="00421ACE">
              <w:rPr>
                <w:rStyle w:val="Hyperlink"/>
                <w:noProof/>
              </w:rPr>
              <w:t>Automatic Mode</w:t>
            </w:r>
            <w:r w:rsidR="00AC25E0">
              <w:rPr>
                <w:noProof/>
                <w:webHidden/>
              </w:rPr>
              <w:tab/>
            </w:r>
            <w:r w:rsidR="00AC25E0">
              <w:rPr>
                <w:noProof/>
                <w:webHidden/>
              </w:rPr>
              <w:fldChar w:fldCharType="begin"/>
            </w:r>
            <w:r w:rsidR="00AC25E0">
              <w:rPr>
                <w:noProof/>
                <w:webHidden/>
              </w:rPr>
              <w:instrText xml:space="preserve"> PAGEREF _Toc141950360 \h </w:instrText>
            </w:r>
            <w:r w:rsidR="00AC25E0">
              <w:rPr>
                <w:noProof/>
                <w:webHidden/>
              </w:rPr>
            </w:r>
            <w:r w:rsidR="00AC25E0">
              <w:rPr>
                <w:noProof/>
                <w:webHidden/>
              </w:rPr>
              <w:fldChar w:fldCharType="separate"/>
            </w:r>
            <w:r w:rsidR="000F35BD">
              <w:rPr>
                <w:noProof/>
                <w:webHidden/>
              </w:rPr>
              <w:t>9</w:t>
            </w:r>
            <w:r w:rsidR="00AC25E0">
              <w:rPr>
                <w:noProof/>
                <w:webHidden/>
              </w:rPr>
              <w:fldChar w:fldCharType="end"/>
            </w:r>
          </w:hyperlink>
        </w:p>
        <w:p w14:paraId="6909D0E8" w14:textId="45BCC917" w:rsidR="00AC25E0" w:rsidRDefault="00000000">
          <w:pPr>
            <w:pStyle w:val="TOC2"/>
            <w:tabs>
              <w:tab w:val="right" w:leader="dot" w:pos="9620"/>
            </w:tabs>
            <w:rPr>
              <w:rFonts w:eastAsiaTheme="minorEastAsia" w:cstheme="minorBidi"/>
              <w:smallCaps w:val="0"/>
              <w:noProof/>
              <w:kern w:val="2"/>
              <w:sz w:val="22"/>
              <w:szCs w:val="22"/>
              <w:lang w:val="pt-BR" w:eastAsia="pt-BR"/>
              <w14:ligatures w14:val="standardContextual"/>
            </w:rPr>
          </w:pPr>
          <w:hyperlink w:anchor="_Toc141950361" w:history="1">
            <w:r w:rsidR="00AC25E0" w:rsidRPr="00421ACE">
              <w:rPr>
                <w:rStyle w:val="Hyperlink"/>
                <w:noProof/>
              </w:rPr>
              <w:t>References</w:t>
            </w:r>
            <w:r w:rsidR="00AC25E0">
              <w:rPr>
                <w:noProof/>
                <w:webHidden/>
              </w:rPr>
              <w:tab/>
            </w:r>
            <w:r w:rsidR="00AC25E0">
              <w:rPr>
                <w:noProof/>
                <w:webHidden/>
              </w:rPr>
              <w:fldChar w:fldCharType="begin"/>
            </w:r>
            <w:r w:rsidR="00AC25E0">
              <w:rPr>
                <w:noProof/>
                <w:webHidden/>
              </w:rPr>
              <w:instrText xml:space="preserve"> PAGEREF _Toc141950361 \h </w:instrText>
            </w:r>
            <w:r w:rsidR="00AC25E0">
              <w:rPr>
                <w:noProof/>
                <w:webHidden/>
              </w:rPr>
            </w:r>
            <w:r w:rsidR="00AC25E0">
              <w:rPr>
                <w:noProof/>
                <w:webHidden/>
              </w:rPr>
              <w:fldChar w:fldCharType="separate"/>
            </w:r>
            <w:r w:rsidR="000F35BD">
              <w:rPr>
                <w:noProof/>
                <w:webHidden/>
              </w:rPr>
              <w:t>11</w:t>
            </w:r>
            <w:r w:rsidR="00AC25E0">
              <w:rPr>
                <w:noProof/>
                <w:webHidden/>
              </w:rPr>
              <w:fldChar w:fldCharType="end"/>
            </w:r>
          </w:hyperlink>
        </w:p>
        <w:p w14:paraId="4909FB4F" w14:textId="38A03550" w:rsidR="00084104" w:rsidRPr="00D36463" w:rsidRDefault="00D36463" w:rsidP="00130A7F">
          <w:r w:rsidRPr="00D36463">
            <w:rPr>
              <w:rFonts w:cstheme="minorHAnsi"/>
              <w:caps/>
            </w:rPr>
            <w:fldChar w:fldCharType="end"/>
          </w:r>
        </w:p>
      </w:sdtContent>
    </w:sdt>
    <w:p w14:paraId="1F967446" w14:textId="75FD5A97" w:rsidR="00A362D6" w:rsidRDefault="00EC4645" w:rsidP="00130A7F">
      <w:pPr>
        <w:pStyle w:val="Heading2"/>
      </w:pPr>
      <w:bookmarkStart w:id="0" w:name="_Toc141950355"/>
      <w:r>
        <w:t>Introduction</w:t>
      </w:r>
      <w:bookmarkEnd w:id="0"/>
    </w:p>
    <w:p w14:paraId="0E005A5F" w14:textId="06B33ED2" w:rsidR="004B75DE" w:rsidRDefault="7C217865" w:rsidP="7C217865">
      <w:r>
        <w:t>Model partitioning is one of the most common issues users find in the modeling stage of the Typhoon HIL Toolchain. Questions about coupling placement and parameterization require experience on real-time modeling issues and knowledge about the electrical system under study. Those issues can be very challenging for Power System applications, considering the high number of elements in the model (transmission lines, generators, circuit breakers, buses, etc.). Besides the placement and parameterization issues, the default stability analysis on the Typhoon HIL Control Center (THCC) runs during the compilation process, which might require a lot of time depending on the complexity of the model.</w:t>
      </w:r>
    </w:p>
    <w:p w14:paraId="57F15B51" w14:textId="021B041B" w:rsidR="004B75DE" w:rsidRDefault="7C217865" w:rsidP="004B75DE">
      <w:r>
        <w:t xml:space="preserve">To support the users in the coupling parametrization task issues, the </w:t>
      </w:r>
      <w:proofErr w:type="spellStart"/>
      <w:r>
        <w:t>OpenDSS</w:t>
      </w:r>
      <w:proofErr w:type="spellEnd"/>
      <w:r>
        <w:t xml:space="preserve"> Model Partitioning Assistant (MPA) was developed. Using the power flow results obtained from the </w:t>
      </w:r>
      <w:proofErr w:type="spellStart"/>
      <w:r>
        <w:t>OpenDSS</w:t>
      </w:r>
      <w:proofErr w:type="spellEnd"/>
      <w:r>
        <w:t xml:space="preserve"> engine, it is possible to evaluate the stability of the coupling before the THCC’s compilation to real-time stage. Also, using the power flow report, the user can check the impacts of the snubbers’ parameterization before running it in the real-time environment. This document will present the main aspects of the MPA strategy.</w:t>
      </w:r>
    </w:p>
    <w:p w14:paraId="70FA7303" w14:textId="39753711" w:rsidR="00EC4645" w:rsidRPr="008D3B57" w:rsidRDefault="00EC4645" w:rsidP="00130A7F">
      <w:pPr>
        <w:pStyle w:val="Heading3"/>
      </w:pPr>
      <w:bookmarkStart w:id="1" w:name="_Toc141950356"/>
      <w:r w:rsidRPr="008D3B57">
        <w:t>Background</w:t>
      </w:r>
      <w:bookmarkEnd w:id="1"/>
    </w:p>
    <w:p w14:paraId="409FD1E2" w14:textId="2BAB8A53" w:rsidR="0027774F" w:rsidRDefault="0015176A" w:rsidP="00130A7F">
      <w:r w:rsidRPr="0015176A">
        <w:t xml:space="preserve">The </w:t>
      </w:r>
      <w:r w:rsidR="00F83264">
        <w:t>MPA</w:t>
      </w:r>
      <w:r w:rsidRPr="0015176A">
        <w:t xml:space="preserve"> f</w:t>
      </w:r>
      <w:r>
        <w:t xml:space="preserve">eature currently supports only the Ideal Transformer Method (ITM) based components from the </w:t>
      </w:r>
      <w:r w:rsidR="00785E10">
        <w:t xml:space="preserve">THCC </w:t>
      </w:r>
      <w:r>
        <w:t>core library:</w:t>
      </w:r>
    </w:p>
    <w:p w14:paraId="7BAEC44A" w14:textId="0FA985DB" w:rsidR="0015176A" w:rsidRDefault="0015176A" w:rsidP="00130A7F">
      <w:pPr>
        <w:pStyle w:val="ListParagraph"/>
        <w:numPr>
          <w:ilvl w:val="0"/>
          <w:numId w:val="47"/>
        </w:numPr>
      </w:pPr>
      <w:r>
        <w:t>Single/Three/Four Phase Core Coupling; and</w:t>
      </w:r>
    </w:p>
    <w:p w14:paraId="3922FD3B" w14:textId="5C8F4C6A" w:rsidR="0015176A" w:rsidRPr="0015176A" w:rsidRDefault="0015176A" w:rsidP="00130A7F">
      <w:pPr>
        <w:pStyle w:val="ListParagraph"/>
        <w:numPr>
          <w:ilvl w:val="0"/>
          <w:numId w:val="47"/>
        </w:numPr>
      </w:pPr>
      <w:r>
        <w:t>Single/Three/Four Phase Device Coupling.</w:t>
      </w:r>
    </w:p>
    <w:p w14:paraId="6F0502DB" w14:textId="227444B3" w:rsidR="002047CF" w:rsidRPr="0015176A" w:rsidRDefault="7C217865" w:rsidP="00130A7F">
      <w:r>
        <w:t xml:space="preserve">As the proper name suggests, the ITM splits the model into two subcircuits over an ideal transformer with a unitary voltage ratio. </w:t>
      </w:r>
      <w:r w:rsidR="001C410D">
        <w:fldChar w:fldCharType="begin"/>
      </w:r>
      <w:r w:rsidR="001C410D">
        <w:instrText xml:space="preserve"> REF _Ref141951770 \h </w:instrText>
      </w:r>
      <w:r w:rsidR="001C410D">
        <w:fldChar w:fldCharType="separate"/>
      </w:r>
      <w:r w:rsidR="000F35BD">
        <w:t xml:space="preserve">Figure </w:t>
      </w:r>
      <w:r w:rsidR="000F35BD">
        <w:rPr>
          <w:noProof/>
        </w:rPr>
        <w:t>1</w:t>
      </w:r>
      <w:r w:rsidR="001C410D">
        <w:fldChar w:fldCharType="end"/>
      </w:r>
      <w:r>
        <w:t xml:space="preserve"> shows the representation of a single-phase ITM (either core or device coupling) using the same color representation as in THCC: red to the Current Source Side and green to the Voltage Source Side.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27774F" w14:paraId="031243CB" w14:textId="77777777" w:rsidTr="00130A7F">
        <w:tc>
          <w:tcPr>
            <w:tcW w:w="9770" w:type="dxa"/>
            <w:vAlign w:val="center"/>
          </w:tcPr>
          <w:p w14:paraId="79CE86B2" w14:textId="414144BA" w:rsidR="0027774F" w:rsidRDefault="0027774F" w:rsidP="00130A7F">
            <w:pPr>
              <w:jc w:val="center"/>
            </w:pPr>
            <w:r>
              <w:rPr>
                <w:noProof/>
              </w:rPr>
              <w:lastRenderedPageBreak/>
              <w:drawing>
                <wp:inline distT="0" distB="0" distL="0" distR="0" wp14:anchorId="7FF67473" wp14:editId="18F49605">
                  <wp:extent cx="4200525" cy="186253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200525" cy="1862538"/>
                          </a:xfrm>
                          <a:prstGeom prst="rect">
                            <a:avLst/>
                          </a:prstGeom>
                        </pic:spPr>
                      </pic:pic>
                    </a:graphicData>
                  </a:graphic>
                </wp:inline>
              </w:drawing>
            </w:r>
          </w:p>
        </w:tc>
      </w:tr>
    </w:tbl>
    <w:p w14:paraId="3FFF029B" w14:textId="576C9AB2" w:rsidR="0027774F" w:rsidRDefault="002047CF" w:rsidP="00130A7F">
      <w:pPr>
        <w:pStyle w:val="Caption"/>
      </w:pPr>
      <w:bookmarkStart w:id="2" w:name="_Ref141951770"/>
      <w:r>
        <w:t xml:space="preserve">Figure </w:t>
      </w:r>
      <w:r>
        <w:fldChar w:fldCharType="begin"/>
      </w:r>
      <w:r>
        <w:instrText xml:space="preserve"> SEQ Figure \* ARABIC </w:instrText>
      </w:r>
      <w:r>
        <w:fldChar w:fldCharType="separate"/>
      </w:r>
      <w:r w:rsidR="000F35BD">
        <w:rPr>
          <w:noProof/>
        </w:rPr>
        <w:t>1</w:t>
      </w:r>
      <w:r>
        <w:fldChar w:fldCharType="end"/>
      </w:r>
      <w:bookmarkEnd w:id="2"/>
      <w:r w:rsidR="0047566A">
        <w:t xml:space="preserve"> – Single-phase ITM implementation.</w:t>
      </w:r>
    </w:p>
    <w:p w14:paraId="74496DDF" w14:textId="77777777" w:rsidR="00D9758C" w:rsidRDefault="00D9758C" w:rsidP="00D9758C"/>
    <w:p w14:paraId="071F1960" w14:textId="5E46E19A" w:rsidR="002E4647" w:rsidRDefault="00D9758C" w:rsidP="7C217865">
      <w:pPr>
        <w:rPr>
          <w:rFonts w:eastAsiaTheme="minorEastAsia"/>
        </w:rPr>
      </w:pPr>
      <w:r>
        <w:t xml:space="preserve">The pros and cons of this method are very well established </w:t>
      </w:r>
      <w:r w:rsidR="001C410D">
        <w:t>in</w:t>
      </w:r>
      <w:r>
        <w:t xml:space="preserve"> the literature</w:t>
      </w:r>
      <w:r w:rsidR="002E4647">
        <w:t xml:space="preserve"> (</w:t>
      </w:r>
      <w:r>
        <w:t>references are presented at the end of this document</w:t>
      </w:r>
      <w:r w:rsidR="002E4647">
        <w:t>)</w:t>
      </w:r>
      <w:r>
        <w:t>. In what concerns th</w:t>
      </w:r>
      <w:r w:rsidR="002E4647">
        <w:t>is</w:t>
      </w:r>
      <w:r>
        <w:t xml:space="preserve"> application, it is enough to know that the stability of the method is given by the ratio between the </w:t>
      </w:r>
      <w:r w:rsidR="7C217865">
        <w:t xml:space="preserve">(Thevenin) </w:t>
      </w:r>
      <w:r>
        <w:t>impedance</w:t>
      </w:r>
      <w:r w:rsidR="002E4647">
        <w:t xml:space="preserve"> “seen”</w:t>
      </w:r>
      <w:r w:rsidR="0006614B">
        <w:t xml:space="preserve"> </w:t>
      </w:r>
      <w:r w:rsidR="002E4647">
        <w:t>by the Current Source Side</w:t>
      </w:r>
      <w:r>
        <w:t xml:space="preserve"> (</w:t>
      </w:r>
      <w:r w:rsidR="002E4647">
        <w:t>Z1</w:t>
      </w:r>
      <w:r>
        <w:t xml:space="preserve">) and </w:t>
      </w:r>
      <w:r w:rsidR="002E4647">
        <w:t xml:space="preserve">the Voltage Source Side </w:t>
      </w:r>
      <w:r>
        <w:t>(</w:t>
      </w:r>
      <w:r w:rsidR="002E4647">
        <w:t>Z2</w:t>
      </w:r>
      <w:r>
        <w:t>)</w:t>
      </w:r>
      <w:r w:rsidR="002E4647">
        <w:t>:</w:t>
      </w:r>
      <w:r>
        <w:t xml:space="preserve"> </w:t>
      </w:r>
      <m:oMath>
        <m:f>
          <m:fPr>
            <m:type m:val="skw"/>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1</m:t>
                </m:r>
              </m:sub>
            </m:sSub>
          </m:num>
          <m:den>
            <m:sSub>
              <m:sSubPr>
                <m:ctrlPr>
                  <w:rPr>
                    <w:rFonts w:ascii="Cambria Math" w:hAnsi="Cambria Math"/>
                    <w:i/>
                  </w:rPr>
                </m:ctrlPr>
              </m:sSubPr>
              <m:e>
                <m:r>
                  <w:rPr>
                    <w:rFonts w:ascii="Cambria Math" w:hAnsi="Cambria Math"/>
                  </w:rPr>
                  <m:t>Z</m:t>
                </m:r>
              </m:e>
              <m:sub>
                <m:r>
                  <w:rPr>
                    <w:rFonts w:ascii="Cambria Math" w:hAnsi="Cambria Math"/>
                  </w:rPr>
                  <m:t>2</m:t>
                </m:r>
              </m:sub>
            </m:sSub>
          </m:den>
        </m:f>
      </m:oMath>
      <w:r w:rsidRPr="7C217865">
        <w:rPr>
          <w:rFonts w:eastAsiaTheme="minorEastAsia"/>
        </w:rPr>
        <w:t>.</w:t>
      </w:r>
    </w:p>
    <w:p w14:paraId="016D8183" w14:textId="5E3EF764" w:rsidR="00C231A9" w:rsidRPr="00130A7F" w:rsidRDefault="7C217865" w:rsidP="00DA4EAA">
      <w:r w:rsidRPr="7C217865">
        <w:rPr>
          <w:rFonts w:eastAsiaTheme="minorEastAsia"/>
        </w:rPr>
        <w:t xml:space="preserve">When the “Coupling Stability Analysis” is enabled in the THCC’s “Model Settings”, the compiler evaluates the coupling stability following the steps: </w:t>
      </w:r>
    </w:p>
    <w:p w14:paraId="4B160E71" w14:textId="6EA70685" w:rsidR="00C231A9" w:rsidRPr="00130A7F" w:rsidRDefault="7C217865" w:rsidP="7C217865">
      <w:pPr>
        <w:pStyle w:val="ListParagraph"/>
        <w:numPr>
          <w:ilvl w:val="0"/>
          <w:numId w:val="2"/>
        </w:numPr>
        <w:rPr>
          <w:rFonts w:eastAsia="Calibri" w:cs="Arial"/>
        </w:rPr>
      </w:pPr>
      <w:r w:rsidRPr="7C217865">
        <w:rPr>
          <w:rFonts w:eastAsiaTheme="minorEastAsia"/>
        </w:rPr>
        <w:t>All the capacitors and inductors are replaced by equivalent resistors using Equations 1 and 2.</w:t>
      </w:r>
    </w:p>
    <w:p w14:paraId="57363A9F" w14:textId="5E94E1BA" w:rsidR="00C231A9" w:rsidRPr="00130A7F" w:rsidRDefault="7C217865" w:rsidP="7C217865">
      <w:pPr>
        <w:pStyle w:val="ListParagraph"/>
        <w:numPr>
          <w:ilvl w:val="0"/>
          <w:numId w:val="2"/>
        </w:numPr>
        <w:rPr>
          <w:rFonts w:eastAsia="Calibri" w:cs="Arial"/>
        </w:rPr>
      </w:pPr>
      <w:r w:rsidRPr="7C217865">
        <w:rPr>
          <w:rFonts w:eastAsiaTheme="minorEastAsia"/>
        </w:rPr>
        <w:t xml:space="preserve">All non-dependent sources are disabled in the circuit (current sources and voltage sources are replaced by open-circuits and short-circuits, respectively). </w:t>
      </w:r>
    </w:p>
    <w:p w14:paraId="7829629E" w14:textId="32A4E190" w:rsidR="00C231A9" w:rsidRPr="00130A7F" w:rsidRDefault="7C217865" w:rsidP="7C217865">
      <w:pPr>
        <w:pStyle w:val="ListParagraph"/>
        <w:numPr>
          <w:ilvl w:val="0"/>
          <w:numId w:val="2"/>
        </w:numPr>
        <w:rPr>
          <w:rFonts w:eastAsia="Calibri" w:cs="Arial"/>
        </w:rPr>
      </w:pPr>
      <w:r w:rsidRPr="7C217865">
        <w:rPr>
          <w:rFonts w:eastAsiaTheme="minorEastAsia"/>
        </w:rPr>
        <w:t xml:space="preserve">The Thevenin resistances of the coupling sides are computed for each switch combination that is present in the circuit. </w:t>
      </w:r>
    </w:p>
    <w:p w14:paraId="0612BE8A" w14:textId="6F6D5E41" w:rsidR="00C231A9" w:rsidRPr="00130A7F" w:rsidRDefault="7C217865" w:rsidP="7C217865">
      <w:pPr>
        <w:pStyle w:val="ListParagraph"/>
        <w:numPr>
          <w:ilvl w:val="0"/>
          <w:numId w:val="2"/>
        </w:numPr>
        <w:rPr>
          <w:rFonts w:eastAsia="Calibri" w:cs="Arial"/>
        </w:rPr>
      </w:pPr>
      <w:r w:rsidRPr="7C217865">
        <w:rPr>
          <w:rFonts w:eastAsiaTheme="minorEastAsia"/>
        </w:rPr>
        <w:t xml:space="preserve">The report indicates the stability of the coupling according to Equation 3. If any pair of resistances falls in the “Unstable” region of equation 3, the coupling is considered unstable, else, it is considered borderline stable or </w:t>
      </w:r>
      <w:proofErr w:type="gramStart"/>
      <w:r w:rsidRPr="7C217865">
        <w:rPr>
          <w:rFonts w:eastAsiaTheme="minorEastAsia"/>
        </w:rPr>
        <w:t>stable</w:t>
      </w:r>
      <w:proofErr w:type="gramEnd"/>
    </w:p>
    <w:p w14:paraId="54D2FA80" w14:textId="388DD29C" w:rsidR="002047CF" w:rsidRDefault="002047CF" w:rsidP="00130A7F">
      <w:pPr>
        <w:pStyle w:val="Caption"/>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5"/>
        <w:gridCol w:w="3214"/>
        <w:gridCol w:w="3211"/>
      </w:tblGrid>
      <w:tr w:rsidR="0027774F" w14:paraId="499B97ED" w14:textId="77777777" w:rsidTr="00130A7F">
        <w:tc>
          <w:tcPr>
            <w:tcW w:w="3256" w:type="dxa"/>
          </w:tcPr>
          <w:p w14:paraId="6283250E" w14:textId="77777777" w:rsidR="0027774F" w:rsidRDefault="0027774F" w:rsidP="00130A7F"/>
        </w:tc>
        <w:tc>
          <w:tcPr>
            <w:tcW w:w="3257" w:type="dxa"/>
            <w:vAlign w:val="center"/>
          </w:tcPr>
          <w:p w14:paraId="5C318844" w14:textId="6ABFB8DF" w:rsidR="0027774F" w:rsidRDefault="00000000" w:rsidP="00130A7F">
            <w:pPr>
              <w:jc w:val="center"/>
            </w:pPr>
            <m:oMathPara>
              <m:oMath>
                <m:sSub>
                  <m:sSubPr>
                    <m:ctrlPr>
                      <w:rPr>
                        <w:rFonts w:ascii="Cambria Math" w:hAnsi="Cambria Math"/>
                      </w:rPr>
                    </m:ctrlPr>
                  </m:sSubPr>
                  <m:e>
                    <m:r>
                      <w:rPr>
                        <w:rFonts w:ascii="Cambria Math" w:hAnsi="Cambria Math"/>
                      </w:rPr>
                      <m:t>R</m:t>
                    </m:r>
                  </m:e>
                  <m:sub>
                    <m:r>
                      <w:rPr>
                        <w:rFonts w:ascii="Cambria Math" w:hAnsi="Cambria Math"/>
                      </w:rPr>
                      <m:t>cap</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s</m:t>
                        </m:r>
                      </m:sub>
                    </m:sSub>
                  </m:num>
                  <m:den>
                    <m:r>
                      <w:rPr>
                        <w:rFonts w:ascii="Cambria Math" w:hAnsi="Cambria Math"/>
                      </w:rPr>
                      <m:t>C</m:t>
                    </m:r>
                  </m:den>
                </m:f>
              </m:oMath>
            </m:oMathPara>
          </w:p>
        </w:tc>
        <w:tc>
          <w:tcPr>
            <w:tcW w:w="3257" w:type="dxa"/>
            <w:vAlign w:val="center"/>
          </w:tcPr>
          <w:p w14:paraId="73456E0B" w14:textId="3590EC51" w:rsidR="0027774F" w:rsidRDefault="00D2088A" w:rsidP="00130A7F">
            <w:pPr>
              <w:jc w:val="right"/>
            </w:pPr>
            <w:r>
              <w:t>(</w:t>
            </w:r>
            <w:r w:rsidR="002047CF">
              <w:fldChar w:fldCharType="begin"/>
            </w:r>
            <w:r w:rsidR="002047CF">
              <w:instrText xml:space="preserve"> SEQ Equation \* ARABIC </w:instrText>
            </w:r>
            <w:r w:rsidR="002047CF">
              <w:fldChar w:fldCharType="separate"/>
            </w:r>
            <w:r w:rsidR="000F35BD">
              <w:rPr>
                <w:noProof/>
              </w:rPr>
              <w:t>1</w:t>
            </w:r>
            <w:r w:rsidR="002047CF">
              <w:fldChar w:fldCharType="end"/>
            </w:r>
            <w:r>
              <w:t>)</w:t>
            </w:r>
          </w:p>
        </w:tc>
      </w:tr>
      <w:tr w:rsidR="0027774F" w14:paraId="48E5C586" w14:textId="77777777" w:rsidTr="00130A7F">
        <w:tc>
          <w:tcPr>
            <w:tcW w:w="3256" w:type="dxa"/>
          </w:tcPr>
          <w:p w14:paraId="712049B8" w14:textId="77777777" w:rsidR="0027774F" w:rsidRDefault="0027774F" w:rsidP="00130A7F"/>
        </w:tc>
        <w:tc>
          <w:tcPr>
            <w:tcW w:w="3257" w:type="dxa"/>
            <w:vAlign w:val="center"/>
          </w:tcPr>
          <w:p w14:paraId="7EB903E3" w14:textId="0D4AF604" w:rsidR="0027774F" w:rsidRDefault="00000000" w:rsidP="00130A7F">
            <w:pPr>
              <w:jc w:val="center"/>
            </w:pPr>
            <m:oMathPara>
              <m:oMath>
                <m:sSub>
                  <m:sSubPr>
                    <m:ctrlPr>
                      <w:rPr>
                        <w:rFonts w:ascii="Cambria Math" w:hAnsi="Cambria Math"/>
                      </w:rPr>
                    </m:ctrlPr>
                  </m:sSubPr>
                  <m:e>
                    <m:r>
                      <w:rPr>
                        <w:rFonts w:ascii="Cambria Math" w:hAnsi="Cambria Math"/>
                      </w:rPr>
                      <m:t>R</m:t>
                    </m:r>
                  </m:e>
                  <m:sub>
                    <m:r>
                      <w:rPr>
                        <w:rFonts w:ascii="Cambria Math" w:hAnsi="Cambria Math"/>
                      </w:rPr>
                      <m:t>ind</m:t>
                    </m:r>
                  </m:sub>
                </m:sSub>
                <m:r>
                  <m:rPr>
                    <m:sty m:val="p"/>
                  </m:rPr>
                  <w:rPr>
                    <w:rFonts w:ascii="Cambria Math" w:hAnsi="Cambria Math"/>
                  </w:rPr>
                  <m:t>=</m:t>
                </m:r>
                <m:f>
                  <m:fPr>
                    <m:ctrlPr>
                      <w:rPr>
                        <w:rFonts w:ascii="Cambria Math" w:hAnsi="Cambria Math"/>
                      </w:rPr>
                    </m:ctrlPr>
                  </m:fPr>
                  <m:num>
                    <m:r>
                      <w:rPr>
                        <w:rFonts w:ascii="Cambria Math" w:hAnsi="Cambria Math"/>
                      </w:rPr>
                      <m:t>L</m:t>
                    </m:r>
                  </m:num>
                  <m:den>
                    <m:sSub>
                      <m:sSubPr>
                        <m:ctrlPr>
                          <w:rPr>
                            <w:rFonts w:ascii="Cambria Math" w:hAnsi="Cambria Math"/>
                          </w:rPr>
                        </m:ctrlPr>
                      </m:sSubPr>
                      <m:e>
                        <m:r>
                          <w:rPr>
                            <w:rFonts w:ascii="Cambria Math" w:hAnsi="Cambria Math"/>
                          </w:rPr>
                          <m:t>T</m:t>
                        </m:r>
                      </m:e>
                      <m:sub>
                        <m:r>
                          <w:rPr>
                            <w:rFonts w:ascii="Cambria Math" w:hAnsi="Cambria Math"/>
                          </w:rPr>
                          <m:t>s</m:t>
                        </m:r>
                      </m:sub>
                    </m:sSub>
                  </m:den>
                </m:f>
              </m:oMath>
            </m:oMathPara>
          </w:p>
        </w:tc>
        <w:tc>
          <w:tcPr>
            <w:tcW w:w="3257" w:type="dxa"/>
            <w:vAlign w:val="center"/>
          </w:tcPr>
          <w:p w14:paraId="1AD718F9" w14:textId="65077B79" w:rsidR="0027774F" w:rsidRDefault="00D2088A" w:rsidP="00130A7F">
            <w:pPr>
              <w:jc w:val="right"/>
            </w:pPr>
            <w:r>
              <w:t>(</w:t>
            </w:r>
            <w:r w:rsidR="002047CF">
              <w:fldChar w:fldCharType="begin"/>
            </w:r>
            <w:r w:rsidR="002047CF">
              <w:instrText xml:space="preserve"> SEQ Equation \* ARABIC </w:instrText>
            </w:r>
            <w:r w:rsidR="002047CF">
              <w:fldChar w:fldCharType="separate"/>
            </w:r>
            <w:r w:rsidR="000F35BD">
              <w:rPr>
                <w:noProof/>
              </w:rPr>
              <w:t>2</w:t>
            </w:r>
            <w:r w:rsidR="002047CF">
              <w:fldChar w:fldCharType="end"/>
            </w:r>
            <w:r>
              <w:t>)</w:t>
            </w:r>
          </w:p>
        </w:tc>
      </w:tr>
    </w:tbl>
    <w:p w14:paraId="5E45CE81" w14:textId="77777777" w:rsidR="0027774F" w:rsidRDefault="0027774F" w:rsidP="00130A7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89"/>
        <w:gridCol w:w="3246"/>
        <w:gridCol w:w="3195"/>
      </w:tblGrid>
      <w:tr w:rsidR="0027774F" w14:paraId="07883F5C" w14:textId="77777777" w:rsidTr="00C01F03">
        <w:tc>
          <w:tcPr>
            <w:tcW w:w="3256" w:type="dxa"/>
          </w:tcPr>
          <w:p w14:paraId="47FE2134" w14:textId="77777777" w:rsidR="0027774F" w:rsidRDefault="0027774F" w:rsidP="00130A7F"/>
        </w:tc>
        <w:tc>
          <w:tcPr>
            <w:tcW w:w="3257" w:type="dxa"/>
            <w:vAlign w:val="center"/>
          </w:tcPr>
          <w:p w14:paraId="7B4CB283" w14:textId="1D42D26D" w:rsidR="0027774F" w:rsidRDefault="00000000" w:rsidP="00C01F03">
            <w:pPr>
              <w:jc w:val="cente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f>
                            <m:fPr>
                              <m:ctrlPr>
                                <w:rPr>
                                  <w:rFonts w:ascii="Cambria Math" w:hAnsi="Cambria Math"/>
                                </w:rPr>
                              </m:ctrlPr>
                            </m:fPr>
                            <m:num>
                              <m:sSub>
                                <m:sSubPr>
                                  <m:ctrlPr>
                                    <w:rPr>
                                      <w:rFonts w:ascii="Cambria Math" w:hAnsi="Cambria Math"/>
                                    </w:rPr>
                                  </m:ctrlPr>
                                </m:sSubPr>
                                <m:e>
                                  <m:r>
                                    <w:rPr>
                                      <w:rFonts w:ascii="Cambria Math" w:hAnsi="Cambria Math"/>
                                    </w:rPr>
                                    <m:t>R</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R</m:t>
                                  </m:r>
                                </m:e>
                                <m:sub>
                                  <m:r>
                                    <m:rPr>
                                      <m:sty m:val="p"/>
                                    </m:rPr>
                                    <w:rPr>
                                      <w:rFonts w:ascii="Cambria Math" w:hAnsi="Cambria Math"/>
                                    </w:rPr>
                                    <m:t>2</m:t>
                                  </m:r>
                                </m:sub>
                              </m:sSub>
                            </m:den>
                          </m:f>
                          <m:r>
                            <m:rPr>
                              <m:sty m:val="p"/>
                            </m:rPr>
                            <w:rPr>
                              <w:rFonts w:ascii="Cambria Math" w:hAnsi="Cambria Math"/>
                            </w:rPr>
                            <m:t>≤0.9→</m:t>
                          </m:r>
                          <m:r>
                            <w:rPr>
                              <w:rFonts w:ascii="Cambria Math" w:hAnsi="Cambria Math"/>
                            </w:rPr>
                            <m:t>Stable</m:t>
                          </m:r>
                          <m:r>
                            <m:rPr>
                              <m:sty m:val="p"/>
                            </m:rPr>
                            <w:rPr>
                              <w:rFonts w:ascii="Cambria Math" w:hAnsi="Cambria Math"/>
                            </w:rPr>
                            <m:t xml:space="preserve">             </m:t>
                          </m:r>
                        </m:e>
                      </m:mr>
                      <m:mr>
                        <m:e>
                          <m:r>
                            <m:rPr>
                              <m:sty m:val="p"/>
                            </m:rPr>
                            <w:rPr>
                              <w:rFonts w:ascii="Cambria Math" w:hAnsi="Cambria Math"/>
                            </w:rPr>
                            <m:t>0.9&lt;</m:t>
                          </m:r>
                          <m:f>
                            <m:fPr>
                              <m:ctrlPr>
                                <w:rPr>
                                  <w:rFonts w:ascii="Cambria Math" w:hAnsi="Cambria Math"/>
                                </w:rPr>
                              </m:ctrlPr>
                            </m:fPr>
                            <m:num>
                              <m:sSub>
                                <m:sSubPr>
                                  <m:ctrlPr>
                                    <w:rPr>
                                      <w:rFonts w:ascii="Cambria Math" w:hAnsi="Cambria Math"/>
                                    </w:rPr>
                                  </m:ctrlPr>
                                </m:sSubPr>
                                <m:e>
                                  <m:r>
                                    <w:rPr>
                                      <w:rFonts w:ascii="Cambria Math" w:hAnsi="Cambria Math"/>
                                    </w:rPr>
                                    <m:t>R</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R</m:t>
                                  </m:r>
                                </m:e>
                                <m:sub>
                                  <m:r>
                                    <m:rPr>
                                      <m:sty m:val="p"/>
                                    </m:rPr>
                                    <w:rPr>
                                      <w:rFonts w:ascii="Cambria Math" w:hAnsi="Cambria Math"/>
                                    </w:rPr>
                                    <m:t>2</m:t>
                                  </m:r>
                                </m:sub>
                              </m:sSub>
                            </m:den>
                          </m:f>
                          <m:r>
                            <m:rPr>
                              <m:sty m:val="p"/>
                            </m:rPr>
                            <w:rPr>
                              <w:rFonts w:ascii="Cambria Math" w:hAnsi="Cambria Math"/>
                            </w:rPr>
                            <m:t>&lt;1.1→</m:t>
                          </m:r>
                          <m:r>
                            <w:rPr>
                              <w:rFonts w:ascii="Cambria Math" w:hAnsi="Cambria Math"/>
                            </w:rPr>
                            <m:t>Border</m:t>
                          </m:r>
                        </m:e>
                      </m:mr>
                      <m:mr>
                        <m:e>
                          <m:f>
                            <m:fPr>
                              <m:ctrlPr>
                                <w:rPr>
                                  <w:rFonts w:ascii="Cambria Math" w:hAnsi="Cambria Math"/>
                                </w:rPr>
                              </m:ctrlPr>
                            </m:fPr>
                            <m:num>
                              <m:sSub>
                                <m:sSubPr>
                                  <m:ctrlPr>
                                    <w:rPr>
                                      <w:rFonts w:ascii="Cambria Math" w:hAnsi="Cambria Math"/>
                                    </w:rPr>
                                  </m:ctrlPr>
                                </m:sSubPr>
                                <m:e>
                                  <m:r>
                                    <w:rPr>
                                      <w:rFonts w:ascii="Cambria Math" w:hAnsi="Cambria Math"/>
                                    </w:rPr>
                                    <m:t>R</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R</m:t>
                                  </m:r>
                                </m:e>
                                <m:sub>
                                  <m:r>
                                    <m:rPr>
                                      <m:sty m:val="p"/>
                                    </m:rPr>
                                    <w:rPr>
                                      <w:rFonts w:ascii="Cambria Math" w:hAnsi="Cambria Math"/>
                                    </w:rPr>
                                    <m:t>2</m:t>
                                  </m:r>
                                </m:sub>
                              </m:sSub>
                            </m:den>
                          </m:f>
                          <m:r>
                            <m:rPr>
                              <m:sty m:val="p"/>
                            </m:rPr>
                            <w:rPr>
                              <w:rFonts w:ascii="Cambria Math" w:hAnsi="Cambria Math"/>
                            </w:rPr>
                            <m:t>≥1.1→</m:t>
                          </m:r>
                          <m:r>
                            <w:rPr>
                              <w:rFonts w:ascii="Cambria Math" w:hAnsi="Cambria Math"/>
                            </w:rPr>
                            <m:t>Unstable</m:t>
                          </m:r>
                          <m:r>
                            <m:rPr>
                              <m:sty m:val="p"/>
                            </m:rPr>
                            <w:rPr>
                              <w:rFonts w:ascii="Cambria Math" w:hAnsi="Cambria Math"/>
                            </w:rPr>
                            <m:t xml:space="preserve">        </m:t>
                          </m:r>
                        </m:e>
                      </m:mr>
                    </m:m>
                  </m:e>
                </m:d>
              </m:oMath>
            </m:oMathPara>
          </w:p>
        </w:tc>
        <w:tc>
          <w:tcPr>
            <w:tcW w:w="3257" w:type="dxa"/>
            <w:vAlign w:val="center"/>
          </w:tcPr>
          <w:p w14:paraId="486937A3" w14:textId="03930F6A" w:rsidR="0027774F" w:rsidRDefault="00C01F03" w:rsidP="00C01F03">
            <w:pPr>
              <w:jc w:val="right"/>
            </w:pPr>
            <w:r>
              <w:t>(</w:t>
            </w:r>
            <w:r w:rsidR="002047CF">
              <w:fldChar w:fldCharType="begin"/>
            </w:r>
            <w:r w:rsidR="002047CF">
              <w:instrText xml:space="preserve"> SEQ Equation \* ARABIC </w:instrText>
            </w:r>
            <w:r w:rsidR="002047CF">
              <w:fldChar w:fldCharType="separate"/>
            </w:r>
            <w:r w:rsidR="000F35BD">
              <w:rPr>
                <w:noProof/>
              </w:rPr>
              <w:t>3</w:t>
            </w:r>
            <w:r w:rsidR="002047CF">
              <w:fldChar w:fldCharType="end"/>
            </w:r>
            <w:r>
              <w:t>)</w:t>
            </w:r>
          </w:p>
        </w:tc>
      </w:tr>
    </w:tbl>
    <w:p w14:paraId="2F88A778" w14:textId="77777777" w:rsidR="00C01F03" w:rsidRDefault="00C01F03" w:rsidP="00130A7F"/>
    <w:p w14:paraId="31C991F9" w14:textId="1421B85B" w:rsidR="00A56AEF" w:rsidRDefault="451B571F" w:rsidP="00582B0D">
      <w:r>
        <w:t xml:space="preserve">The stability criterium from Equation 3 is that the Thevenin impedance on the Current Source Side should be smaller than the impedance on the Voltage Source Side. The discretization method described on equations 1 and 2 suggests that capacitors have a lower equivalent resistance than the inductors. From this viewpoint, having the current source side of the coupling connected to a capacitor and the voltage source side connected to an inductor is preferred, following the ITM’s </w:t>
      </w:r>
      <w:r>
        <w:lastRenderedPageBreak/>
        <w:t xml:space="preserve">stability criterium. In cases in which the circuit doesn’t provide natural capacitors and inductors to satisfy this preference, it is possible to reinforce the stability through the addition of coupling snubbers. On the voltage source side, a parallel resistor/inductor snubber impedance is connected in series to the source and to the system’s impedance Z2. On the current source side, a series resistor/capacitor snubber impedance is connected in shunt to the source and to the system’s impedance Z1. </w:t>
      </w:r>
    </w:p>
    <w:p w14:paraId="6D96F290" w14:textId="15BAD2AE" w:rsidR="451B571F" w:rsidRDefault="451B571F" w:rsidP="451B571F"/>
    <w:p w14:paraId="16CF38F7" w14:textId="5A415CE7" w:rsidR="00A56AEF" w:rsidRDefault="451B571F" w:rsidP="7C217865">
      <w:r>
        <w:t xml:space="preserve">The MPA feature in the </w:t>
      </w:r>
      <w:proofErr w:type="spellStart"/>
      <w:r>
        <w:t>OpenDSS</w:t>
      </w:r>
      <w:proofErr w:type="spellEnd"/>
      <w:r>
        <w:t xml:space="preserve"> library uses the same approach to support the user in understanding better the stability issues of the model in the study. </w:t>
      </w:r>
      <w:r w:rsidR="00A56AEF">
        <w:fldChar w:fldCharType="begin"/>
      </w:r>
      <w:r w:rsidR="00A56AEF">
        <w:instrText xml:space="preserve"> REF _Ref141951883 \h </w:instrText>
      </w:r>
      <w:r w:rsidR="00A56AEF">
        <w:fldChar w:fldCharType="separate"/>
      </w:r>
      <w:r w:rsidR="000F35BD">
        <w:t xml:space="preserve">Figure </w:t>
      </w:r>
      <w:r w:rsidR="000F35BD">
        <w:rPr>
          <w:noProof/>
        </w:rPr>
        <w:t>2</w:t>
      </w:r>
      <w:r w:rsidR="00A56AEF">
        <w:fldChar w:fldCharType="end"/>
      </w:r>
      <w:r>
        <w:t xml:space="preserve"> shows details of the feature’s implementation. In the </w:t>
      </w:r>
      <w:proofErr w:type="spellStart"/>
      <w:r>
        <w:t>OpenDSS</w:t>
      </w:r>
      <w:proofErr w:type="spellEnd"/>
      <w:r>
        <w:t xml:space="preserve"> engine, the Coupling element is represented as a Line element with small impedance. During the model stability evaluation, the line is opened, and the Thevenin Impedance is computed for both sides of the line.</w:t>
      </w:r>
    </w:p>
    <w:p w14:paraId="35AF49E6" w14:textId="0B735224" w:rsidR="00A56AEF" w:rsidRDefault="451B571F" w:rsidP="00A56AEF">
      <w:r>
        <w:t xml:space="preserve">All the inductances and capacitances in the </w:t>
      </w:r>
      <w:proofErr w:type="spellStart"/>
      <w:r>
        <w:t>OpenDSS</w:t>
      </w:r>
      <w:proofErr w:type="spellEnd"/>
      <w:r>
        <w:t xml:space="preserve">’ components are compensated with the equivalent discretized resistance described in equations 1 and 2 before the stability evaluation is done. This process approximates the impedances calculated from </w:t>
      </w:r>
      <w:proofErr w:type="spellStart"/>
      <w:r>
        <w:t>OpenDSS</w:t>
      </w:r>
      <w:proofErr w:type="spellEnd"/>
      <w:r>
        <w:t xml:space="preserve"> to the impedances calculated by the THCC for real-time simulation.</w:t>
      </w:r>
    </w:p>
    <w:p w14:paraId="0E09BD51" w14:textId="4B2E8CC7" w:rsidR="00A56AEF" w:rsidRDefault="451B571F" w:rsidP="00A56AEF">
      <w:r>
        <w:t>Due to the disabling of the circuit sources, each side of the coupling interfaces in different ways with the rest of the system. The coupling internal sources and their respective connections depend on the coupling number of phases, in which the number of sources is “n - 1” for a coupling of “n” phases. For example, the disabling of the sources on the current source side removes the mutual connection between its phases, resulting in only the Thevenin self-impedance being used. On the voltage source side, the short-circuiting of the sources results in mutual coupling between phases, therefore, a Kron Reduction is used to get the proper phase resistance.</w:t>
      </w:r>
    </w:p>
    <w:p w14:paraId="0B70E962" w14:textId="77777777" w:rsidR="00933BD7" w:rsidRDefault="00933BD7" w:rsidP="00130A7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776B52" w14:paraId="233B456E" w14:textId="77777777" w:rsidTr="008E7760">
        <w:tc>
          <w:tcPr>
            <w:tcW w:w="9846" w:type="dxa"/>
          </w:tcPr>
          <w:p w14:paraId="694F534B" w14:textId="338D136F" w:rsidR="00776B52" w:rsidRDefault="00776B52" w:rsidP="00130A7F">
            <w:r>
              <w:rPr>
                <w:noProof/>
              </w:rPr>
              <w:drawing>
                <wp:inline distT="0" distB="0" distL="0" distR="0" wp14:anchorId="462F55E7" wp14:editId="52F541C0">
                  <wp:extent cx="6115050" cy="18275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15050" cy="1827530"/>
                          </a:xfrm>
                          <a:prstGeom prst="rect">
                            <a:avLst/>
                          </a:prstGeom>
                        </pic:spPr>
                      </pic:pic>
                    </a:graphicData>
                  </a:graphic>
                </wp:inline>
              </w:drawing>
            </w:r>
          </w:p>
        </w:tc>
      </w:tr>
    </w:tbl>
    <w:p w14:paraId="689CA0E6" w14:textId="7579B6AD" w:rsidR="00727DBE" w:rsidRDefault="00727DBE" w:rsidP="00727DBE">
      <w:pPr>
        <w:pStyle w:val="Caption"/>
      </w:pPr>
      <w:bookmarkStart w:id="3" w:name="_Ref141951883"/>
      <w:r>
        <w:t xml:space="preserve">Figure </w:t>
      </w:r>
      <w:r>
        <w:fldChar w:fldCharType="begin"/>
      </w:r>
      <w:r>
        <w:instrText xml:space="preserve"> SEQ Figure \* ARABIC </w:instrText>
      </w:r>
      <w:r>
        <w:fldChar w:fldCharType="separate"/>
      </w:r>
      <w:r w:rsidR="000F35BD">
        <w:rPr>
          <w:noProof/>
        </w:rPr>
        <w:t>2</w:t>
      </w:r>
      <w:r>
        <w:fldChar w:fldCharType="end"/>
      </w:r>
      <w:bookmarkEnd w:id="3"/>
      <w:r>
        <w:t xml:space="preserve"> – </w:t>
      </w:r>
      <w:r w:rsidR="000016D9">
        <w:t>Approach used for the coupling terminals impedance calculation</w:t>
      </w:r>
      <w:r>
        <w:t>.</w:t>
      </w:r>
    </w:p>
    <w:p w14:paraId="00CB691A" w14:textId="77777777" w:rsidR="00E50598" w:rsidRDefault="00E50598" w:rsidP="00130A7F"/>
    <w:p w14:paraId="79D9932F" w14:textId="2CF9A8BF" w:rsidR="00E50598" w:rsidRDefault="00E50598" w:rsidP="00130A7F">
      <w:r w:rsidRPr="00E50598">
        <w:t xml:space="preserve">Besides the Thevenin impedance calculation, the MPA feature provides enough information to support/evaluate the snubbers parameterization through the power flow results from the </w:t>
      </w:r>
      <w:proofErr w:type="spellStart"/>
      <w:r w:rsidRPr="00E50598">
        <w:t>OpenDSS</w:t>
      </w:r>
      <w:proofErr w:type="spellEnd"/>
      <w:r w:rsidRPr="00E50598">
        <w:t xml:space="preserve"> engine.</w:t>
      </w:r>
    </w:p>
    <w:p w14:paraId="633C23BD" w14:textId="23DE91A3" w:rsidR="00EC4645" w:rsidRPr="00EC4645" w:rsidRDefault="00EC4645" w:rsidP="00130A7F">
      <w:pPr>
        <w:pStyle w:val="Heading3"/>
      </w:pPr>
      <w:bookmarkStart w:id="4" w:name="_Toc141950357"/>
      <w:r>
        <w:t>Component Description</w:t>
      </w:r>
      <w:bookmarkEnd w:id="4"/>
    </w:p>
    <w:p w14:paraId="580DEB5B" w14:textId="415CAD80" w:rsidR="00745D9B" w:rsidRDefault="451B571F" w:rsidP="00130A7F">
      <w:r>
        <w:t xml:space="preserve">The </w:t>
      </w:r>
      <w:proofErr w:type="spellStart"/>
      <w:r>
        <w:t>OpenDSS</w:t>
      </w:r>
      <w:proofErr w:type="spellEnd"/>
      <w:r>
        <w:t xml:space="preserve"> Coupling component is found in the main </w:t>
      </w:r>
      <w:proofErr w:type="spellStart"/>
      <w:r>
        <w:t>OpenDSS</w:t>
      </w:r>
      <w:proofErr w:type="spellEnd"/>
      <w:r>
        <w:t xml:space="preserve"> category on the Library Explorer of the THCC. As the component is represented by a Line element in </w:t>
      </w:r>
      <w:proofErr w:type="spellStart"/>
      <w:r>
        <w:t>OpenDSS</w:t>
      </w:r>
      <w:proofErr w:type="spellEnd"/>
      <w:r>
        <w:t xml:space="preserve">, each of its terminals should be connected to a Bus element. </w:t>
      </w:r>
      <w:r w:rsidR="00745D9B">
        <w:fldChar w:fldCharType="begin"/>
      </w:r>
      <w:r w:rsidR="00745D9B">
        <w:instrText xml:space="preserve"> REF _Ref141953015 \h </w:instrText>
      </w:r>
      <w:r w:rsidR="00745D9B">
        <w:fldChar w:fldCharType="separate"/>
      </w:r>
      <w:r w:rsidR="000F35BD">
        <w:t xml:space="preserve">Figure </w:t>
      </w:r>
      <w:r w:rsidR="000F35BD">
        <w:rPr>
          <w:noProof/>
        </w:rPr>
        <w:t>3</w:t>
      </w:r>
      <w:r w:rsidR="00745D9B">
        <w:fldChar w:fldCharType="end"/>
      </w:r>
      <w:r>
        <w:t>.a shows the device and core coupling components. Variations, including the number of phases, operational mode, and the Stability algorithm result, modify the component’s icon.</w:t>
      </w:r>
    </w:p>
    <w:p w14:paraId="54525633" w14:textId="7FF9EA68" w:rsidR="00745D9B" w:rsidRDefault="451B571F" w:rsidP="00130A7F">
      <w:r>
        <w:lastRenderedPageBreak/>
        <w:t xml:space="preserve">The component’s properties are divided into two tabs. In the “General” tab, the user can choose the type of coupling (either core or device), the number of phases, and its mode algorithm used in the Model Partitioning Analysis (manual or automatic), as shown in </w:t>
      </w:r>
      <w:r w:rsidR="00745D9B">
        <w:fldChar w:fldCharType="begin"/>
      </w:r>
      <w:r w:rsidR="00745D9B">
        <w:instrText xml:space="preserve"> REF _Ref141953015 \h </w:instrText>
      </w:r>
      <w:r w:rsidR="00745D9B">
        <w:fldChar w:fldCharType="separate"/>
      </w:r>
      <w:r w:rsidR="000F35BD">
        <w:t xml:space="preserve">Figure </w:t>
      </w:r>
      <w:r w:rsidR="000F35BD">
        <w:rPr>
          <w:noProof/>
        </w:rPr>
        <w:t>3</w:t>
      </w:r>
      <w:r w:rsidR="00745D9B">
        <w:fldChar w:fldCharType="end"/>
      </w:r>
      <w:r>
        <w:t xml:space="preserve">.b. A second tab, “Parameterization,” is used when “manual mode” is selected to configure the coupling snubbers. Those parameters are set automatically in the “automatic mode”, shown in </w:t>
      </w:r>
      <w:r w:rsidR="00745D9B">
        <w:fldChar w:fldCharType="begin"/>
      </w:r>
      <w:r w:rsidR="00745D9B">
        <w:instrText xml:space="preserve"> REF _Ref141953015 \h </w:instrText>
      </w:r>
      <w:r w:rsidR="00745D9B">
        <w:fldChar w:fldCharType="separate"/>
      </w:r>
      <w:r w:rsidR="000F35BD">
        <w:t xml:space="preserve">Figure </w:t>
      </w:r>
      <w:r w:rsidR="000F35BD">
        <w:rPr>
          <w:noProof/>
        </w:rPr>
        <w:t>3</w:t>
      </w:r>
      <w:r w:rsidR="00745D9B">
        <w:fldChar w:fldCharType="end"/>
      </w:r>
      <w:r>
        <w:t>.c.</w:t>
      </w:r>
    </w:p>
    <w:p w14:paraId="3AD234B6" w14:textId="77777777" w:rsidR="00776B52" w:rsidRDefault="00776B52" w:rsidP="00130A7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7"/>
        <w:gridCol w:w="4793"/>
      </w:tblGrid>
      <w:tr w:rsidR="00776B52" w14:paraId="4F24868E" w14:textId="77777777" w:rsidTr="000016D9">
        <w:tc>
          <w:tcPr>
            <w:tcW w:w="9770" w:type="dxa"/>
            <w:gridSpan w:val="2"/>
            <w:vAlign w:val="center"/>
          </w:tcPr>
          <w:p w14:paraId="435FD96A" w14:textId="0312902F" w:rsidR="00776B52" w:rsidRDefault="00776B52" w:rsidP="00D2220E">
            <w:pPr>
              <w:jc w:val="center"/>
              <w:rPr>
                <w:noProof/>
              </w:rPr>
            </w:pPr>
            <w:r>
              <w:rPr>
                <w:noProof/>
              </w:rPr>
              <w:drawing>
                <wp:inline distT="0" distB="0" distL="0" distR="0" wp14:anchorId="7A321EF5" wp14:editId="7C1D46FB">
                  <wp:extent cx="1755648" cy="214857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3">
                            <a:extLst>
                              <a:ext uri="{28A0092B-C50C-407E-A947-70E740481C1C}">
                                <a14:useLocalDpi xmlns:a14="http://schemas.microsoft.com/office/drawing/2010/main" val="0"/>
                              </a:ext>
                            </a:extLst>
                          </a:blip>
                          <a:stretch>
                            <a:fillRect/>
                          </a:stretch>
                        </pic:blipFill>
                        <pic:spPr>
                          <a:xfrm>
                            <a:off x="0" y="0"/>
                            <a:ext cx="1759923" cy="2153811"/>
                          </a:xfrm>
                          <a:prstGeom prst="rect">
                            <a:avLst/>
                          </a:prstGeom>
                        </pic:spPr>
                      </pic:pic>
                    </a:graphicData>
                  </a:graphic>
                </wp:inline>
              </w:drawing>
            </w:r>
          </w:p>
        </w:tc>
      </w:tr>
      <w:tr w:rsidR="00776B52" w14:paraId="288B6F48" w14:textId="77777777" w:rsidTr="000016D9">
        <w:tc>
          <w:tcPr>
            <w:tcW w:w="9770" w:type="dxa"/>
            <w:gridSpan w:val="2"/>
            <w:vAlign w:val="center"/>
          </w:tcPr>
          <w:p w14:paraId="460E2AC4" w14:textId="2DE358FC" w:rsidR="00776B52" w:rsidRDefault="00D2220E" w:rsidP="00D2220E">
            <w:pPr>
              <w:jc w:val="center"/>
              <w:rPr>
                <w:noProof/>
              </w:rPr>
            </w:pPr>
            <w:r>
              <w:rPr>
                <w:noProof/>
              </w:rPr>
              <w:t>a)</w:t>
            </w:r>
          </w:p>
        </w:tc>
      </w:tr>
      <w:tr w:rsidR="00776B52" w14:paraId="20AA06FE" w14:textId="77777777" w:rsidTr="000016D9">
        <w:tc>
          <w:tcPr>
            <w:tcW w:w="4885" w:type="dxa"/>
            <w:vAlign w:val="center"/>
          </w:tcPr>
          <w:p w14:paraId="2114BF17" w14:textId="3A3A32BB" w:rsidR="00776B52" w:rsidRDefault="00776B52" w:rsidP="00D2220E">
            <w:pPr>
              <w:jc w:val="center"/>
            </w:pPr>
            <w:r>
              <w:rPr>
                <w:noProof/>
              </w:rPr>
              <w:drawing>
                <wp:inline distT="0" distB="0" distL="0" distR="0" wp14:anchorId="65B90008" wp14:editId="2822431C">
                  <wp:extent cx="2952750" cy="4375959"/>
                  <wp:effectExtent l="0" t="0" r="0" b="0"/>
                  <wp:docPr id="5"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computer pro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973824" cy="4407191"/>
                          </a:xfrm>
                          <a:prstGeom prst="rect">
                            <a:avLst/>
                          </a:prstGeom>
                        </pic:spPr>
                      </pic:pic>
                    </a:graphicData>
                  </a:graphic>
                </wp:inline>
              </w:drawing>
            </w:r>
          </w:p>
        </w:tc>
        <w:tc>
          <w:tcPr>
            <w:tcW w:w="4885" w:type="dxa"/>
            <w:vAlign w:val="center"/>
          </w:tcPr>
          <w:p w14:paraId="33F387B5" w14:textId="17331AE3" w:rsidR="00776B52" w:rsidRDefault="00776B52" w:rsidP="00D2220E">
            <w:pPr>
              <w:jc w:val="center"/>
            </w:pPr>
            <w:r>
              <w:rPr>
                <w:noProof/>
              </w:rPr>
              <w:drawing>
                <wp:inline distT="0" distB="0" distL="0" distR="0" wp14:anchorId="1E9B3089" wp14:editId="6B6F7BFD">
                  <wp:extent cx="2924175" cy="4333611"/>
                  <wp:effectExtent l="0" t="0" r="0" b="0"/>
                  <wp:docPr id="6"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937920" cy="4353982"/>
                          </a:xfrm>
                          <a:prstGeom prst="rect">
                            <a:avLst/>
                          </a:prstGeom>
                        </pic:spPr>
                      </pic:pic>
                    </a:graphicData>
                  </a:graphic>
                </wp:inline>
              </w:drawing>
            </w:r>
          </w:p>
        </w:tc>
      </w:tr>
      <w:tr w:rsidR="00776B52" w14:paraId="1FE8190F" w14:textId="77777777" w:rsidTr="000016D9">
        <w:tc>
          <w:tcPr>
            <w:tcW w:w="4885" w:type="dxa"/>
            <w:vAlign w:val="center"/>
          </w:tcPr>
          <w:p w14:paraId="35DB08C1" w14:textId="0373749D" w:rsidR="00776B52" w:rsidRDefault="00D2220E" w:rsidP="00D2220E">
            <w:pPr>
              <w:jc w:val="center"/>
            </w:pPr>
            <w:r>
              <w:t>b)</w:t>
            </w:r>
          </w:p>
        </w:tc>
        <w:tc>
          <w:tcPr>
            <w:tcW w:w="4885" w:type="dxa"/>
            <w:vAlign w:val="center"/>
          </w:tcPr>
          <w:p w14:paraId="2EEB9CB8" w14:textId="5360F998" w:rsidR="00776B52" w:rsidRDefault="00D2220E" w:rsidP="00D2220E">
            <w:pPr>
              <w:jc w:val="center"/>
            </w:pPr>
            <w:r>
              <w:t>c)</w:t>
            </w:r>
          </w:p>
        </w:tc>
      </w:tr>
    </w:tbl>
    <w:p w14:paraId="2373ECDD" w14:textId="64EFC926" w:rsidR="000016D9" w:rsidRDefault="000016D9" w:rsidP="000016D9">
      <w:pPr>
        <w:pStyle w:val="Caption"/>
      </w:pPr>
      <w:bookmarkStart w:id="5" w:name="_Ref141953015"/>
      <w:r>
        <w:t xml:space="preserve">Figure </w:t>
      </w:r>
      <w:r>
        <w:fldChar w:fldCharType="begin"/>
      </w:r>
      <w:r>
        <w:instrText xml:space="preserve"> SEQ Figure \* ARABIC </w:instrText>
      </w:r>
      <w:r>
        <w:fldChar w:fldCharType="separate"/>
      </w:r>
      <w:r w:rsidR="000F35BD">
        <w:rPr>
          <w:noProof/>
        </w:rPr>
        <w:t>3</w:t>
      </w:r>
      <w:r>
        <w:fldChar w:fldCharType="end"/>
      </w:r>
      <w:bookmarkEnd w:id="5"/>
      <w:r>
        <w:t xml:space="preserve"> – Coupling component: a) Core and Device icons, b) General tab properties, and c) Parameterization tab properties.</w:t>
      </w:r>
    </w:p>
    <w:p w14:paraId="006F327C" w14:textId="77777777" w:rsidR="00776B52" w:rsidRDefault="00776B52" w:rsidP="00130A7F"/>
    <w:p w14:paraId="32294134" w14:textId="390F8A6F" w:rsidR="00EC4645" w:rsidRDefault="00EC4645" w:rsidP="00130A7F">
      <w:pPr>
        <w:pStyle w:val="Heading2"/>
      </w:pPr>
      <w:bookmarkStart w:id="6" w:name="_Toc141950358"/>
      <w:r>
        <w:lastRenderedPageBreak/>
        <w:t>Example</w:t>
      </w:r>
      <w:bookmarkEnd w:id="6"/>
    </w:p>
    <w:p w14:paraId="2DA0E99C" w14:textId="187B2C4B" w:rsidR="0008036F" w:rsidRDefault="451B571F" w:rsidP="451B571F">
      <w:r>
        <w:t xml:space="preserve">This subsection describes, through an example, how the user can manage the coupling parameterization based on the provided information from the </w:t>
      </w:r>
      <w:proofErr w:type="spellStart"/>
      <w:r>
        <w:t>OpenDSS</w:t>
      </w:r>
      <w:proofErr w:type="spellEnd"/>
      <w:r>
        <w:t xml:space="preserve"> Model Partitioning Assistant. A modified branch of the Banshee microgrid is used as the system example. As shown in </w:t>
      </w:r>
      <w:r w:rsidR="0008036F">
        <w:fldChar w:fldCharType="begin"/>
      </w:r>
      <w:r w:rsidR="0008036F">
        <w:instrText xml:space="preserve"> REF _Ref141953090 \h </w:instrText>
      </w:r>
      <w:r w:rsidR="0008036F">
        <w:fldChar w:fldCharType="separate"/>
      </w:r>
      <w:r w:rsidR="000F35BD">
        <w:t xml:space="preserve">Figure </w:t>
      </w:r>
      <w:r w:rsidR="000F35BD">
        <w:rPr>
          <w:noProof/>
        </w:rPr>
        <w:t>4</w:t>
      </w:r>
      <w:r w:rsidR="0008036F">
        <w:fldChar w:fldCharType="end"/>
      </w:r>
      <w:r>
        <w:t xml:space="preserve">, the model is divided into six (6) cores through five (5) couplings. All couplings are initially configured to operate in the Manual mode, and no snubbers are used in this initial model representation. The blue squares represent the Controlled Switches, while the black squares represent the Manual Switches from the </w:t>
      </w:r>
      <w:proofErr w:type="spellStart"/>
      <w:r>
        <w:t>OpenDSS</w:t>
      </w:r>
      <w:proofErr w:type="spellEnd"/>
      <w:r>
        <w:t xml:space="preserve"> library. All loads are modeled as constant impedance.</w:t>
      </w:r>
    </w:p>
    <w:p w14:paraId="5F9D65ED" w14:textId="77777777" w:rsidR="00785E10" w:rsidRDefault="00785E10" w:rsidP="00130A7F"/>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CB6344" w14:paraId="0EC23C26" w14:textId="77777777" w:rsidTr="00AA20E5">
        <w:trPr>
          <w:jc w:val="center"/>
        </w:trPr>
        <w:tc>
          <w:tcPr>
            <w:tcW w:w="9770" w:type="dxa"/>
            <w:vAlign w:val="center"/>
          </w:tcPr>
          <w:p w14:paraId="7BC6A559" w14:textId="77777777" w:rsidR="00CB6344" w:rsidRDefault="00CB6344" w:rsidP="00AA20E5">
            <w:pPr>
              <w:jc w:val="center"/>
            </w:pPr>
            <w:r>
              <w:rPr>
                <w:noProof/>
              </w:rPr>
              <w:drawing>
                <wp:inline distT="0" distB="0" distL="0" distR="0" wp14:anchorId="6D99DCED" wp14:editId="42BD7459">
                  <wp:extent cx="3286125" cy="4295849"/>
                  <wp:effectExtent l="0" t="0" r="0" b="0"/>
                  <wp:docPr id="9" name="Picture 9" descr="A black background with blue and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black background with blue and red squares&#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286125" cy="4295849"/>
                          </a:xfrm>
                          <a:prstGeom prst="rect">
                            <a:avLst/>
                          </a:prstGeom>
                        </pic:spPr>
                      </pic:pic>
                    </a:graphicData>
                  </a:graphic>
                </wp:inline>
              </w:drawing>
            </w:r>
          </w:p>
        </w:tc>
      </w:tr>
    </w:tbl>
    <w:p w14:paraId="4C8A382C" w14:textId="7AC13D6D" w:rsidR="00CB6344" w:rsidRPr="00647120" w:rsidRDefault="00CB6344" w:rsidP="00CB6344">
      <w:pPr>
        <w:jc w:val="center"/>
      </w:pPr>
      <w:bookmarkStart w:id="7" w:name="_Ref141953090"/>
      <w:r>
        <w:t xml:space="preserve">Figure </w:t>
      </w:r>
      <w:r>
        <w:fldChar w:fldCharType="begin"/>
      </w:r>
      <w:r>
        <w:instrText xml:space="preserve"> SEQ Figure \* ARABIC </w:instrText>
      </w:r>
      <w:r>
        <w:fldChar w:fldCharType="separate"/>
      </w:r>
      <w:r w:rsidR="000F35BD">
        <w:rPr>
          <w:noProof/>
        </w:rPr>
        <w:t>4</w:t>
      </w:r>
      <w:r>
        <w:fldChar w:fldCharType="end"/>
      </w:r>
      <w:bookmarkEnd w:id="7"/>
      <w:r>
        <w:t xml:space="preserve"> – Power system example.</w:t>
      </w:r>
    </w:p>
    <w:p w14:paraId="5C8F2DF6" w14:textId="77777777" w:rsidR="00CB6344" w:rsidRDefault="00CB6344" w:rsidP="00130A7F"/>
    <w:p w14:paraId="586C4EC0" w14:textId="58985413" w:rsidR="007B3733" w:rsidRDefault="451B571F" w:rsidP="00785E10">
      <w:r>
        <w:t xml:space="preserve">The MPA can be started in the “Typhoon HIL” tab properties of the </w:t>
      </w:r>
      <w:proofErr w:type="spellStart"/>
      <w:r>
        <w:t>SimDSS</w:t>
      </w:r>
      <w:proofErr w:type="spellEnd"/>
      <w:r>
        <w:t xml:space="preserve"> component (</w:t>
      </w:r>
      <w:r w:rsidR="00BC3A1A">
        <w:fldChar w:fldCharType="begin"/>
      </w:r>
      <w:r w:rsidR="00BC3A1A">
        <w:instrText xml:space="preserve"> REF _Ref141953102 \h </w:instrText>
      </w:r>
      <w:r w:rsidR="00BC3A1A">
        <w:fldChar w:fldCharType="separate"/>
      </w:r>
      <w:r w:rsidR="000F35BD">
        <w:t xml:space="preserve">Figure </w:t>
      </w:r>
      <w:r w:rsidR="000F35BD">
        <w:rPr>
          <w:noProof/>
        </w:rPr>
        <w:t>5</w:t>
      </w:r>
      <w:r w:rsidR="00BC3A1A">
        <w:fldChar w:fldCharType="end"/>
      </w:r>
      <w:r>
        <w:t>). Once executed, the MPA provides a summary report on the “Compilation Status Dock” of the Schematic Editor and a detailed (.txt) report in the DSS folder created inside the model’s Target Files folder (the full path is also shown in the summary report). The report shows the model's main aspects, such as timestep, number of couplings, and number of switches. In the next section, the report presents information about each Coupling element in the circuit, such as:</w:t>
      </w:r>
    </w:p>
    <w:p w14:paraId="3BF40878" w14:textId="4DEAE3C1" w:rsidR="007B3733" w:rsidRDefault="451B571F" w:rsidP="451B571F">
      <w:pPr>
        <w:pStyle w:val="ListParagraph"/>
        <w:numPr>
          <w:ilvl w:val="0"/>
          <w:numId w:val="1"/>
        </w:numPr>
        <w:rPr>
          <w:rFonts w:eastAsia="Calibri" w:cs="Arial"/>
        </w:rPr>
      </w:pPr>
      <w:r>
        <w:t>Operational Mode - if it is Automatic or Manual.</w:t>
      </w:r>
    </w:p>
    <w:p w14:paraId="324F59E8" w14:textId="2054A5DB" w:rsidR="007B3733" w:rsidRDefault="451B571F" w:rsidP="451B571F">
      <w:pPr>
        <w:pStyle w:val="ListParagraph"/>
        <w:numPr>
          <w:ilvl w:val="0"/>
          <w:numId w:val="1"/>
        </w:numPr>
        <w:rPr>
          <w:rFonts w:eastAsia="Calibri" w:cs="Arial"/>
        </w:rPr>
      </w:pPr>
      <w:r>
        <w:t>Topological conflicts of the coupling with the rest of the model, the snubbers values used for each side of the coupling and its impact on the power flow.</w:t>
      </w:r>
    </w:p>
    <w:p w14:paraId="04741310" w14:textId="3039F061" w:rsidR="007B3733" w:rsidRDefault="451B571F" w:rsidP="451B571F">
      <w:pPr>
        <w:pStyle w:val="ListParagraph"/>
        <w:numPr>
          <w:ilvl w:val="0"/>
          <w:numId w:val="1"/>
        </w:numPr>
        <w:rPr>
          <w:rFonts w:eastAsia="Calibri" w:cs="Arial"/>
        </w:rPr>
      </w:pPr>
      <w:r>
        <w:t>Stability Data, informing if the coupling is stable or not (and for which switch permutation) and tips to bring it to stability.</w:t>
      </w:r>
    </w:p>
    <w:p w14:paraId="374432A9" w14:textId="3C7EF219" w:rsidR="00785E10" w:rsidRDefault="451B571F" w:rsidP="00130A7F">
      <w:r>
        <w:lastRenderedPageBreak/>
        <w:t>Besides providing information, the MPA automatically modifies the coupling elements that were configured to the “Automatic” mode to achieve model stability.</w:t>
      </w:r>
    </w:p>
    <w:p w14:paraId="4F44EA5A" w14:textId="1FDB6567" w:rsidR="00785E10" w:rsidRDefault="451B571F" w:rsidP="00130A7F">
      <w:r>
        <w:t>The following subsections present details of the “Manual” and “Automatic” operation modes of the couplings.</w:t>
      </w:r>
    </w:p>
    <w:p w14:paraId="127C389D" w14:textId="77777777" w:rsidR="00785E10" w:rsidRDefault="00785E10" w:rsidP="00130A7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785E10" w14:paraId="628AA7A6" w14:textId="77777777" w:rsidTr="00AA20E5">
        <w:tc>
          <w:tcPr>
            <w:tcW w:w="9770" w:type="dxa"/>
            <w:vAlign w:val="center"/>
          </w:tcPr>
          <w:p w14:paraId="4D80D57B" w14:textId="77777777" w:rsidR="00785E10" w:rsidRDefault="00785E10" w:rsidP="00AA20E5">
            <w:pPr>
              <w:jc w:val="center"/>
            </w:pPr>
            <w:r>
              <w:rPr>
                <w:noProof/>
              </w:rPr>
              <w:drawing>
                <wp:inline distT="0" distB="0" distL="0" distR="0" wp14:anchorId="67F53DD1" wp14:editId="46516626">
                  <wp:extent cx="3097860" cy="3446915"/>
                  <wp:effectExtent l="0" t="0" r="0" b="0"/>
                  <wp:docPr id="7"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omputer progra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3097860" cy="3446915"/>
                          </a:xfrm>
                          <a:prstGeom prst="rect">
                            <a:avLst/>
                          </a:prstGeom>
                        </pic:spPr>
                      </pic:pic>
                    </a:graphicData>
                  </a:graphic>
                </wp:inline>
              </w:drawing>
            </w:r>
          </w:p>
        </w:tc>
      </w:tr>
    </w:tbl>
    <w:p w14:paraId="7C4E6E95" w14:textId="044CD4BB" w:rsidR="00785E10" w:rsidRDefault="00785E10" w:rsidP="00785E10">
      <w:pPr>
        <w:pStyle w:val="Caption"/>
      </w:pPr>
      <w:bookmarkStart w:id="8" w:name="_Ref141953102"/>
      <w:r>
        <w:t xml:space="preserve">Figure </w:t>
      </w:r>
      <w:r>
        <w:fldChar w:fldCharType="begin"/>
      </w:r>
      <w:r>
        <w:instrText xml:space="preserve"> SEQ Figure \* ARABIC </w:instrText>
      </w:r>
      <w:r>
        <w:fldChar w:fldCharType="separate"/>
      </w:r>
      <w:r w:rsidR="000F35BD">
        <w:rPr>
          <w:noProof/>
        </w:rPr>
        <w:t>5</w:t>
      </w:r>
      <w:r>
        <w:fldChar w:fldCharType="end"/>
      </w:r>
      <w:bookmarkEnd w:id="8"/>
      <w:r>
        <w:t xml:space="preserve"> – Model Partitioning Assistance on the </w:t>
      </w:r>
      <w:proofErr w:type="spellStart"/>
      <w:r>
        <w:t>SimDSS</w:t>
      </w:r>
      <w:proofErr w:type="spellEnd"/>
      <w:r>
        <w:t xml:space="preserve"> component.</w:t>
      </w:r>
    </w:p>
    <w:p w14:paraId="409DB215" w14:textId="77777777" w:rsidR="00B8186E" w:rsidRDefault="00B8186E" w:rsidP="00B8186E"/>
    <w:p w14:paraId="6A3A9D7A" w14:textId="7DD71DC3" w:rsidR="00EC4645" w:rsidRDefault="00EC4645" w:rsidP="00130A7F">
      <w:pPr>
        <w:pStyle w:val="Heading3"/>
      </w:pPr>
      <w:bookmarkStart w:id="9" w:name="_Toc141950359"/>
      <w:r>
        <w:t>Manual Mode</w:t>
      </w:r>
      <w:bookmarkEnd w:id="9"/>
    </w:p>
    <w:p w14:paraId="3FBCFB3D" w14:textId="4B337BB3" w:rsidR="00262A39" w:rsidRDefault="451B571F" w:rsidP="00262A39">
      <w:r>
        <w:t xml:space="preserve">Considering the initial parameterization of the example, the MPA summary report is shown in </w:t>
      </w:r>
      <w:r w:rsidR="00262A39">
        <w:fldChar w:fldCharType="begin"/>
      </w:r>
      <w:r w:rsidR="00262A39">
        <w:instrText xml:space="preserve"> REF _Ref141953116 \h </w:instrText>
      </w:r>
      <w:r w:rsidR="00262A39">
        <w:fldChar w:fldCharType="separate"/>
      </w:r>
      <w:r w:rsidR="000F35BD">
        <w:t xml:space="preserve">Figure </w:t>
      </w:r>
      <w:r w:rsidR="000F35BD">
        <w:rPr>
          <w:noProof/>
        </w:rPr>
        <w:t>6</w:t>
      </w:r>
      <w:r w:rsidR="00262A39">
        <w:fldChar w:fldCharType="end"/>
      </w:r>
      <w:r>
        <w:t xml:space="preserve">. Couplings 1, 4, and 5 are stable, while Couplings 2 and 3 are unstable. The report shows on which switch conditions each coupling is unstable. In the example, Couplings 2 and 3 are unstable on all conditions of SW1 and SW2. </w:t>
      </w:r>
    </w:p>
    <w:p w14:paraId="4FFF1FF6" w14:textId="5D6624F7" w:rsidR="00262A39" w:rsidRDefault="451B571F" w:rsidP="00262A39">
      <w:r>
        <w:t xml:space="preserve">Another relevant piece of information is the snubber's parameterization. Couplings 1, 2, and 3 do not have snubbers parametrized in the original system configuration, but only Coupling 1 has topological conflicts (with the Transformer T203). As it is known that Coupling 1 is stable, it is possible to use a high resistance resistor on the current source side of the coupling to solve the topological conflict, while minimizing the impact of the snubber when compared to the original system. This would configure Coupling 1 similarly to Couplings 4 and 5. In these couplings, snubbers of 100 </w:t>
      </w:r>
      <w:proofErr w:type="spellStart"/>
      <w:r>
        <w:t>kΩ</w:t>
      </w:r>
      <w:proofErr w:type="spellEnd"/>
      <w:r>
        <w:t xml:space="preserve"> on the Current Source Side and 1 </w:t>
      </w:r>
      <w:proofErr w:type="spellStart"/>
      <w:r>
        <w:t>mΩ</w:t>
      </w:r>
      <w:proofErr w:type="spellEnd"/>
      <w:r>
        <w:t xml:space="preserve"> on the Voltage Source Side are used. The report also shows the impact of these snubbers on the circuit: about 700 </w:t>
      </w:r>
      <w:proofErr w:type="spellStart"/>
      <w:r>
        <w:t>mW</w:t>
      </w:r>
      <w:proofErr w:type="spellEnd"/>
      <w:r>
        <w:t xml:space="preserve"> on the shunt snubber, about 1 V of drop voltage, and 1 kW of loss on the series snubber. The user can use the power flow results on the detailed information to evaluate if the values are acceptable for its real-time simulation analysis.</w:t>
      </w:r>
    </w:p>
    <w:p w14:paraId="1482F7E2" w14:textId="150D0704" w:rsidR="00D103E6" w:rsidRDefault="451B571F" w:rsidP="00262A39">
      <w:r>
        <w:t xml:space="preserve">The detailed report is shown in </w:t>
      </w:r>
      <w:r w:rsidR="00262A39">
        <w:fldChar w:fldCharType="begin"/>
      </w:r>
      <w:r w:rsidR="00262A39">
        <w:instrText xml:space="preserve"> REF _Ref141953126 \h </w:instrText>
      </w:r>
      <w:r w:rsidR="00262A39">
        <w:fldChar w:fldCharType="separate"/>
      </w:r>
      <w:r w:rsidR="000F35BD">
        <w:t xml:space="preserve">Figure </w:t>
      </w:r>
      <w:r w:rsidR="000F35BD">
        <w:rPr>
          <w:noProof/>
        </w:rPr>
        <w:t>7</w:t>
      </w:r>
      <w:r w:rsidR="00262A39">
        <w:fldChar w:fldCharType="end"/>
      </w:r>
      <w:r>
        <w:t xml:space="preserve">. As the report is too long to put in this document, just a cut set within the Coupling 2 information is shown. In addition to the Topological Conflicts, Snubber </w:t>
      </w:r>
      <w:r>
        <w:lastRenderedPageBreak/>
        <w:t>Parameterization, and Stability Check sections of the summary report, the detailed report shows the power flow and the Thevenin Impedance for each switch combination.</w:t>
      </w:r>
    </w:p>
    <w:p w14:paraId="7B9CBA96" w14:textId="77777777" w:rsidR="00D103E6" w:rsidRDefault="00D103E6" w:rsidP="00130A7F"/>
    <w:p w14:paraId="42D1EE12" w14:textId="77777777" w:rsidR="00D103E6" w:rsidRDefault="00D103E6" w:rsidP="00130A7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043E8A" w14:paraId="0378961B" w14:textId="77777777" w:rsidTr="007B3733">
        <w:tc>
          <w:tcPr>
            <w:tcW w:w="9846" w:type="dxa"/>
          </w:tcPr>
          <w:p w14:paraId="3438D60E" w14:textId="79C7A072" w:rsidR="00043E8A" w:rsidRPr="00E325AE" w:rsidRDefault="007B3733" w:rsidP="002422C8">
            <w:pPr>
              <w:jc w:val="center"/>
              <w:rPr>
                <w:lang w:val="pt-BR"/>
              </w:rPr>
            </w:pPr>
            <w:r>
              <w:rPr>
                <w:noProof/>
                <w:lang w:val="pt-BR"/>
              </w:rPr>
              <w:drawing>
                <wp:inline distT="0" distB="0" distL="0" distR="0" wp14:anchorId="7A632A00" wp14:editId="2ABD8AE2">
                  <wp:extent cx="6115050" cy="4296410"/>
                  <wp:effectExtent l="19050" t="1905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15050" cy="4296410"/>
                          </a:xfrm>
                          <a:prstGeom prst="rect">
                            <a:avLst/>
                          </a:prstGeom>
                          <a:ln>
                            <a:solidFill>
                              <a:schemeClr val="tx1"/>
                            </a:solidFill>
                          </a:ln>
                        </pic:spPr>
                      </pic:pic>
                    </a:graphicData>
                  </a:graphic>
                </wp:inline>
              </w:drawing>
            </w:r>
          </w:p>
        </w:tc>
      </w:tr>
    </w:tbl>
    <w:p w14:paraId="53FE9C4A" w14:textId="77AF3AB0" w:rsidR="007B3733" w:rsidRDefault="007B3733" w:rsidP="007B3733">
      <w:pPr>
        <w:pStyle w:val="Caption"/>
      </w:pPr>
      <w:bookmarkStart w:id="10" w:name="_Ref141953116"/>
      <w:r>
        <w:t xml:space="preserve">Figure </w:t>
      </w:r>
      <w:r>
        <w:fldChar w:fldCharType="begin"/>
      </w:r>
      <w:r>
        <w:instrText xml:space="preserve"> SEQ Figure \* ARABIC </w:instrText>
      </w:r>
      <w:r>
        <w:fldChar w:fldCharType="separate"/>
      </w:r>
      <w:r w:rsidR="000F35BD">
        <w:rPr>
          <w:noProof/>
        </w:rPr>
        <w:t>6</w:t>
      </w:r>
      <w:r>
        <w:fldChar w:fldCharType="end"/>
      </w:r>
      <w:bookmarkEnd w:id="10"/>
      <w:r>
        <w:t xml:space="preserve"> – Model Partitioning Assistance summary report.</w:t>
      </w:r>
    </w:p>
    <w:p w14:paraId="1D097B00" w14:textId="038422A3" w:rsidR="00262A39" w:rsidRDefault="451B571F" w:rsidP="00262A39">
      <w:r>
        <w:t>According to the Stability Data section of the Coupling 2 detailed report, a flip of the coupling, changing where the current sources point to, would solve the stability issue. The flip action will change the r1 and r2 impedances of the coupling, and with the new orientation, all switch conditions will achieve the stability criteria. We can already assume the need to use a snubber on the Current Source Side of the coupling now that this side points to the Transformer (</w:t>
      </w:r>
      <w:proofErr w:type="gramStart"/>
      <w:r>
        <w:t>similar to</w:t>
      </w:r>
      <w:proofErr w:type="gramEnd"/>
      <w:r>
        <w:t xml:space="preserve"> Coupling 1 as discussed above). If no snubbers are used, it will inform a topological conflict on the next MPA run.</w:t>
      </w:r>
    </w:p>
    <w:p w14:paraId="0FC0706A" w14:textId="00B1AC40" w:rsidR="00262A39" w:rsidRDefault="451B571F" w:rsidP="00262A39">
      <w:proofErr w:type="gramStart"/>
      <w:r>
        <w:t>In regard to</w:t>
      </w:r>
      <w:proofErr w:type="gramEnd"/>
      <w:r>
        <w:t xml:space="preserve"> the snubber’s parametrization, once flipped the Coupling 2 becomes similar to Coupling 1. It is stable and has topological conflicts on the Current Source Side. A big value of resistance can be used without major impact on the power flow results (100 </w:t>
      </w:r>
      <w:proofErr w:type="spellStart"/>
      <w:r>
        <w:t>kΩ</w:t>
      </w:r>
      <w:proofErr w:type="spellEnd"/>
      <w:r>
        <w:t xml:space="preserve"> will be used).</w:t>
      </w:r>
    </w:p>
    <w:p w14:paraId="51C5A306" w14:textId="36573E14" w:rsidR="00EB703B" w:rsidRDefault="451B571F" w:rsidP="00262A39">
      <w:r>
        <w:t xml:space="preserve">The same steps are followed for Coupling 3, but not described here. After the modifications, we can rerun the MPA and check the new results for this arrangement. The summary report is shown in </w:t>
      </w:r>
      <w:r w:rsidR="00262A39">
        <w:fldChar w:fldCharType="begin"/>
      </w:r>
      <w:r w:rsidR="00262A39">
        <w:instrText xml:space="preserve"> REF _Ref141953143 \h </w:instrText>
      </w:r>
      <w:r w:rsidR="00262A39">
        <w:fldChar w:fldCharType="separate"/>
      </w:r>
      <w:r w:rsidR="000F35BD">
        <w:t xml:space="preserve">Figure </w:t>
      </w:r>
      <w:r w:rsidR="000F35BD">
        <w:rPr>
          <w:noProof/>
        </w:rPr>
        <w:t>8</w:t>
      </w:r>
      <w:r w:rsidR="00262A39">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8D3B57" w14:paraId="1B1D49E6" w14:textId="77777777" w:rsidTr="00F6019F">
        <w:tc>
          <w:tcPr>
            <w:tcW w:w="9770" w:type="dxa"/>
          </w:tcPr>
          <w:p w14:paraId="7EA1AAAA" w14:textId="6B98F0C5" w:rsidR="008D3B57" w:rsidRDefault="001C444B" w:rsidP="002422C8">
            <w:pPr>
              <w:jc w:val="center"/>
            </w:pPr>
            <w:r>
              <w:rPr>
                <w:noProof/>
              </w:rPr>
              <w:lastRenderedPageBreak/>
              <w:drawing>
                <wp:inline distT="0" distB="0" distL="0" distR="0" wp14:anchorId="65599865" wp14:editId="199B2DA0">
                  <wp:extent cx="4325510" cy="4716288"/>
                  <wp:effectExtent l="19050" t="1905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333845" cy="4725376"/>
                          </a:xfrm>
                          <a:prstGeom prst="rect">
                            <a:avLst/>
                          </a:prstGeom>
                          <a:ln>
                            <a:solidFill>
                              <a:schemeClr val="tx1"/>
                            </a:solidFill>
                          </a:ln>
                        </pic:spPr>
                      </pic:pic>
                    </a:graphicData>
                  </a:graphic>
                </wp:inline>
              </w:drawing>
            </w:r>
          </w:p>
        </w:tc>
      </w:tr>
    </w:tbl>
    <w:p w14:paraId="635106E7" w14:textId="2E11FE46" w:rsidR="00F6019F" w:rsidRDefault="00F6019F" w:rsidP="00F6019F">
      <w:pPr>
        <w:pStyle w:val="Caption"/>
      </w:pPr>
      <w:bookmarkStart w:id="11" w:name="_Ref141953126"/>
      <w:r>
        <w:t xml:space="preserve">Figure </w:t>
      </w:r>
      <w:r>
        <w:fldChar w:fldCharType="begin"/>
      </w:r>
      <w:r>
        <w:instrText xml:space="preserve"> SEQ Figure \* ARABIC </w:instrText>
      </w:r>
      <w:r>
        <w:fldChar w:fldCharType="separate"/>
      </w:r>
      <w:r w:rsidR="000F35BD">
        <w:rPr>
          <w:noProof/>
        </w:rPr>
        <w:t>7</w:t>
      </w:r>
      <w:r>
        <w:fldChar w:fldCharType="end"/>
      </w:r>
      <w:bookmarkEnd w:id="11"/>
      <w:r>
        <w:t xml:space="preserve"> – Model Partitioning Assistance </w:t>
      </w:r>
      <w:r w:rsidR="003E4405">
        <w:t>detailed</w:t>
      </w:r>
      <w:r>
        <w:t xml:space="preserve"> report</w:t>
      </w:r>
      <w:r w:rsidR="003E4405">
        <w:t xml:space="preserve"> (only Coupling 2 information)</w:t>
      </w:r>
      <w:r>
        <w:t>.</w:t>
      </w:r>
    </w:p>
    <w:p w14:paraId="374628C3" w14:textId="77777777" w:rsidR="008D3B57" w:rsidRDefault="008D3B57" w:rsidP="00130A7F"/>
    <w:p w14:paraId="5B84A500" w14:textId="77777777" w:rsidR="00EB703B" w:rsidRDefault="00EB703B" w:rsidP="00130A7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1B28FD" w14:paraId="42A4CC4E" w14:textId="77777777" w:rsidTr="00AA20E5">
        <w:tc>
          <w:tcPr>
            <w:tcW w:w="9770" w:type="dxa"/>
          </w:tcPr>
          <w:p w14:paraId="0EF75C83" w14:textId="106B5B27" w:rsidR="001B28FD" w:rsidRDefault="001B28FD" w:rsidP="00AA20E5">
            <w:pPr>
              <w:jc w:val="center"/>
            </w:pPr>
            <w:r>
              <w:rPr>
                <w:noProof/>
              </w:rPr>
              <w:lastRenderedPageBreak/>
              <w:drawing>
                <wp:inline distT="0" distB="0" distL="0" distR="0" wp14:anchorId="0194A404" wp14:editId="585A938F">
                  <wp:extent cx="4114268" cy="4231758"/>
                  <wp:effectExtent l="19050" t="1905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124047" cy="4241816"/>
                          </a:xfrm>
                          <a:prstGeom prst="rect">
                            <a:avLst/>
                          </a:prstGeom>
                          <a:ln>
                            <a:solidFill>
                              <a:schemeClr val="tx1"/>
                            </a:solidFill>
                          </a:ln>
                        </pic:spPr>
                      </pic:pic>
                    </a:graphicData>
                  </a:graphic>
                </wp:inline>
              </w:drawing>
            </w:r>
          </w:p>
        </w:tc>
      </w:tr>
    </w:tbl>
    <w:p w14:paraId="473EA773" w14:textId="4106C1F0" w:rsidR="001B28FD" w:rsidRDefault="001B28FD" w:rsidP="001B28FD">
      <w:pPr>
        <w:pStyle w:val="Caption"/>
      </w:pPr>
      <w:bookmarkStart w:id="12" w:name="_Ref141953143"/>
      <w:r>
        <w:t xml:space="preserve">Figure </w:t>
      </w:r>
      <w:r>
        <w:fldChar w:fldCharType="begin"/>
      </w:r>
      <w:r>
        <w:instrText xml:space="preserve"> SEQ Figure \* ARABIC </w:instrText>
      </w:r>
      <w:r>
        <w:fldChar w:fldCharType="separate"/>
      </w:r>
      <w:r w:rsidR="000F35BD">
        <w:rPr>
          <w:noProof/>
        </w:rPr>
        <w:t>8</w:t>
      </w:r>
      <w:r>
        <w:fldChar w:fldCharType="end"/>
      </w:r>
      <w:bookmarkEnd w:id="12"/>
      <w:r>
        <w:t xml:space="preserve"> – Model Partitioning Assistance summary report after the changes on the Coupling.</w:t>
      </w:r>
    </w:p>
    <w:p w14:paraId="3C3ADDD0" w14:textId="77777777" w:rsidR="00EB703B" w:rsidRDefault="00EB703B" w:rsidP="00130A7F"/>
    <w:p w14:paraId="230D8B88" w14:textId="6D222C06" w:rsidR="00EC4645" w:rsidRPr="00EC4645" w:rsidRDefault="00EC4645" w:rsidP="00130A7F">
      <w:pPr>
        <w:pStyle w:val="Heading3"/>
      </w:pPr>
      <w:bookmarkStart w:id="13" w:name="_Toc141950360"/>
      <w:r>
        <w:t>Automatic Mode</w:t>
      </w:r>
      <w:bookmarkEnd w:id="13"/>
    </w:p>
    <w:p w14:paraId="46E3A981" w14:textId="3C21DC94" w:rsidR="00262A39" w:rsidRDefault="451B571F" w:rsidP="00262A39">
      <w:r>
        <w:t xml:space="preserve">The Automatic Mode reports are </w:t>
      </w:r>
      <w:proofErr w:type="gramStart"/>
      <w:r>
        <w:t>similar to</w:t>
      </w:r>
      <w:proofErr w:type="gramEnd"/>
      <w:r>
        <w:t xml:space="preserve"> the Manual Mode. A summary report and a detailed report inform the user about the Coupling impacts on the model. The main difference is that the actions are performed automatically by the assistant. The MPA algorithm automatically changes all couplings configured as Automatic according to the results shown in the previous section: Flip action and Snubber Parameterization.</w:t>
      </w:r>
    </w:p>
    <w:p w14:paraId="26EA8CBC" w14:textId="70AD0164" w:rsidR="00262A39" w:rsidRDefault="451B571F" w:rsidP="00262A39">
      <w:r>
        <w:t>All five couplings are initially changed to Automatic Mode of operation on the component’s properties mask. After the change, the component icon will be updated, informing the Auto mode (</w:t>
      </w:r>
      <w:r w:rsidR="00262A39">
        <w:fldChar w:fldCharType="begin"/>
      </w:r>
      <w:r w:rsidR="00262A39">
        <w:instrText xml:space="preserve"> REF _Ref141953154 \h </w:instrText>
      </w:r>
      <w:r w:rsidR="00262A39">
        <w:fldChar w:fldCharType="separate"/>
      </w:r>
      <w:r w:rsidR="000F35BD">
        <w:t xml:space="preserve">Figure </w:t>
      </w:r>
      <w:r w:rsidR="000F35BD">
        <w:rPr>
          <w:noProof/>
        </w:rPr>
        <w:t>9</w:t>
      </w:r>
      <w:r w:rsidR="00262A39">
        <w:fldChar w:fldCharType="end"/>
      </w:r>
      <w:r>
        <w:t xml:space="preserve">). Running the MPA feature from the </w:t>
      </w:r>
      <w:proofErr w:type="spellStart"/>
      <w:r>
        <w:t>SimDSS</w:t>
      </w:r>
      <w:proofErr w:type="spellEnd"/>
      <w:r>
        <w:t xml:space="preserve"> component will start the algorithm. </w:t>
      </w:r>
      <w:r w:rsidR="00262A39">
        <w:fldChar w:fldCharType="begin"/>
      </w:r>
      <w:r w:rsidR="00262A39">
        <w:instrText xml:space="preserve"> REF _Ref141953163 \h </w:instrText>
      </w:r>
      <w:r w:rsidR="00262A39">
        <w:fldChar w:fldCharType="separate"/>
      </w:r>
      <w:r w:rsidR="000F35BD">
        <w:t xml:space="preserve">Figure </w:t>
      </w:r>
      <w:r w:rsidR="000F35BD">
        <w:rPr>
          <w:noProof/>
        </w:rPr>
        <w:t>10</w:t>
      </w:r>
      <w:r w:rsidR="00262A39">
        <w:fldChar w:fldCharType="end"/>
      </w:r>
      <w:r>
        <w:t xml:space="preserve">.a shows the summary report for this new condition. Note that all couplings are now stable on the first MPA running. The detailed report describes the actions taken to achieve stability for each coupling. The changes are also presented on the component icon. </w:t>
      </w:r>
      <w:r w:rsidR="00262A39">
        <w:fldChar w:fldCharType="begin"/>
      </w:r>
      <w:r w:rsidR="00262A39">
        <w:instrText xml:space="preserve"> REF _Ref141953163 \h </w:instrText>
      </w:r>
      <w:r w:rsidR="00262A39">
        <w:fldChar w:fldCharType="separate"/>
      </w:r>
      <w:r w:rsidR="000F35BD">
        <w:t xml:space="preserve">Figure </w:t>
      </w:r>
      <w:r w:rsidR="000F35BD">
        <w:rPr>
          <w:noProof/>
        </w:rPr>
        <w:t>10</w:t>
      </w:r>
      <w:r w:rsidR="00262A39">
        <w:fldChar w:fldCharType="end"/>
      </w:r>
      <w:r>
        <w:t>.b shows the flip actions on Couplings 2 and 3.</w:t>
      </w:r>
    </w:p>
    <w:p w14:paraId="7D15E7BC" w14:textId="6EC89047" w:rsidR="009333D2" w:rsidRDefault="451B571F" w:rsidP="00262A39">
      <w:r>
        <w:t>For this example, a flip action makes the couplings stable for all switches combination. If it is not possible, the MPA will do the flip actions based on the initial switches' conditions provided on the Switch component’s mask. If the stability is not met, the snubbers are calculated according to the maximum power flow condition. Users should still use the Manual mode and optimally parameterize according to the application requirements.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9333D2" w14:paraId="0BB399D9" w14:textId="77777777" w:rsidTr="0028748C">
        <w:tc>
          <w:tcPr>
            <w:tcW w:w="9770" w:type="dxa"/>
            <w:vAlign w:val="center"/>
          </w:tcPr>
          <w:p w14:paraId="10078630" w14:textId="0847FCC6" w:rsidR="009333D2" w:rsidRDefault="009333D2" w:rsidP="0028748C">
            <w:pPr>
              <w:jc w:val="center"/>
            </w:pPr>
            <w:r w:rsidRPr="009333D2">
              <w:rPr>
                <w:noProof/>
              </w:rPr>
              <w:lastRenderedPageBreak/>
              <w:drawing>
                <wp:inline distT="0" distB="0" distL="0" distR="0" wp14:anchorId="4CB8DC32" wp14:editId="30E9CA83">
                  <wp:extent cx="3856007" cy="20485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93526" cy="2068462"/>
                          </a:xfrm>
                          <a:prstGeom prst="rect">
                            <a:avLst/>
                          </a:prstGeom>
                        </pic:spPr>
                      </pic:pic>
                    </a:graphicData>
                  </a:graphic>
                </wp:inline>
              </w:drawing>
            </w:r>
          </w:p>
        </w:tc>
      </w:tr>
    </w:tbl>
    <w:p w14:paraId="0CBD9F22" w14:textId="35433453" w:rsidR="0028748C" w:rsidRDefault="0028748C" w:rsidP="0028748C">
      <w:pPr>
        <w:pStyle w:val="Caption"/>
      </w:pPr>
      <w:bookmarkStart w:id="14" w:name="_Ref141953154"/>
      <w:r>
        <w:t xml:space="preserve">Figure </w:t>
      </w:r>
      <w:r>
        <w:fldChar w:fldCharType="begin"/>
      </w:r>
      <w:r>
        <w:instrText xml:space="preserve"> SEQ Figure \* ARABIC </w:instrText>
      </w:r>
      <w:r>
        <w:fldChar w:fldCharType="separate"/>
      </w:r>
      <w:r w:rsidR="000F35BD">
        <w:rPr>
          <w:noProof/>
        </w:rPr>
        <w:t>9</w:t>
      </w:r>
      <w:r>
        <w:fldChar w:fldCharType="end"/>
      </w:r>
      <w:bookmarkEnd w:id="14"/>
      <w:r>
        <w:t xml:space="preserve"> – Coupling Icons in Automatic Mode.</w:t>
      </w:r>
    </w:p>
    <w:p w14:paraId="6F783C15" w14:textId="77777777" w:rsidR="0028748C" w:rsidRDefault="0028748C" w:rsidP="00130A7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9333D2" w14:paraId="35F0ED54" w14:textId="77777777" w:rsidTr="0028748C">
        <w:tc>
          <w:tcPr>
            <w:tcW w:w="9770" w:type="dxa"/>
            <w:vAlign w:val="center"/>
          </w:tcPr>
          <w:p w14:paraId="30D351AB" w14:textId="5A9667C3" w:rsidR="009333D2" w:rsidRDefault="009333D2" w:rsidP="0028748C">
            <w:pPr>
              <w:jc w:val="center"/>
            </w:pPr>
            <w:r>
              <w:rPr>
                <w:noProof/>
              </w:rPr>
              <w:drawing>
                <wp:inline distT="0" distB="0" distL="0" distR="0" wp14:anchorId="57178FA9" wp14:editId="28A7BED6">
                  <wp:extent cx="4114800" cy="3600344"/>
                  <wp:effectExtent l="19050" t="1905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28662" cy="3612473"/>
                          </a:xfrm>
                          <a:prstGeom prst="rect">
                            <a:avLst/>
                          </a:prstGeom>
                          <a:ln>
                            <a:solidFill>
                              <a:schemeClr val="tx1"/>
                            </a:solidFill>
                          </a:ln>
                        </pic:spPr>
                      </pic:pic>
                    </a:graphicData>
                  </a:graphic>
                </wp:inline>
              </w:drawing>
            </w:r>
          </w:p>
        </w:tc>
      </w:tr>
      <w:tr w:rsidR="009333D2" w14:paraId="4768AABB" w14:textId="77777777" w:rsidTr="0028748C">
        <w:tc>
          <w:tcPr>
            <w:tcW w:w="9770" w:type="dxa"/>
            <w:vAlign w:val="center"/>
          </w:tcPr>
          <w:p w14:paraId="76CD920B" w14:textId="6B44F1C1" w:rsidR="009333D2" w:rsidRDefault="0028748C" w:rsidP="0028748C">
            <w:pPr>
              <w:jc w:val="center"/>
            </w:pPr>
            <w:r>
              <w:t>a)</w:t>
            </w:r>
          </w:p>
        </w:tc>
      </w:tr>
      <w:tr w:rsidR="009333D2" w14:paraId="341B19A4" w14:textId="77777777" w:rsidTr="0028748C">
        <w:tc>
          <w:tcPr>
            <w:tcW w:w="9770" w:type="dxa"/>
            <w:vAlign w:val="center"/>
          </w:tcPr>
          <w:p w14:paraId="156A8FCB" w14:textId="3FDC0EE6" w:rsidR="009333D2" w:rsidRDefault="0028748C" w:rsidP="0028748C">
            <w:pPr>
              <w:jc w:val="center"/>
            </w:pPr>
            <w:r w:rsidRPr="0028748C">
              <w:rPr>
                <w:noProof/>
              </w:rPr>
              <w:drawing>
                <wp:inline distT="0" distB="0" distL="0" distR="0" wp14:anchorId="7834696A" wp14:editId="17EBE666">
                  <wp:extent cx="3347049" cy="164214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379234" cy="1657937"/>
                          </a:xfrm>
                          <a:prstGeom prst="rect">
                            <a:avLst/>
                          </a:prstGeom>
                        </pic:spPr>
                      </pic:pic>
                    </a:graphicData>
                  </a:graphic>
                </wp:inline>
              </w:drawing>
            </w:r>
          </w:p>
        </w:tc>
      </w:tr>
      <w:tr w:rsidR="009333D2" w14:paraId="164BE3CE" w14:textId="77777777" w:rsidTr="0028748C">
        <w:tc>
          <w:tcPr>
            <w:tcW w:w="9770" w:type="dxa"/>
            <w:vAlign w:val="center"/>
          </w:tcPr>
          <w:p w14:paraId="0EB37994" w14:textId="1D7BAC01" w:rsidR="009333D2" w:rsidRDefault="0028748C" w:rsidP="0028748C">
            <w:pPr>
              <w:jc w:val="center"/>
            </w:pPr>
            <w:r>
              <w:t>b)</w:t>
            </w:r>
          </w:p>
        </w:tc>
      </w:tr>
    </w:tbl>
    <w:p w14:paraId="03E7B7AB" w14:textId="61C246C7" w:rsidR="0028748C" w:rsidRDefault="451B571F" w:rsidP="0028748C">
      <w:pPr>
        <w:pStyle w:val="Caption"/>
      </w:pPr>
      <w:bookmarkStart w:id="15" w:name="_Ref141953163"/>
      <w:r>
        <w:t xml:space="preserve">Figure </w:t>
      </w:r>
      <w:r w:rsidR="0028748C">
        <w:fldChar w:fldCharType="begin"/>
      </w:r>
      <w:r w:rsidR="0028748C">
        <w:instrText xml:space="preserve"> SEQ Figure \* ARABIC </w:instrText>
      </w:r>
      <w:r w:rsidR="0028748C">
        <w:fldChar w:fldCharType="separate"/>
      </w:r>
      <w:r w:rsidR="000F35BD">
        <w:rPr>
          <w:noProof/>
        </w:rPr>
        <w:t>10</w:t>
      </w:r>
      <w:r w:rsidR="0028748C">
        <w:fldChar w:fldCharType="end"/>
      </w:r>
      <w:bookmarkEnd w:id="15"/>
      <w:r>
        <w:t xml:space="preserve"> – MPA results from the Automatic mode. a) Summary report, b) Changed Icons indicating the actions taken by the MPA.</w:t>
      </w:r>
    </w:p>
    <w:p w14:paraId="76F38981" w14:textId="77777777" w:rsidR="008D3B57" w:rsidRDefault="008D3B57" w:rsidP="00130A7F"/>
    <w:p w14:paraId="291EB833" w14:textId="52D7261D" w:rsidR="00EC4645" w:rsidRDefault="00EC4645" w:rsidP="00130A7F">
      <w:pPr>
        <w:pStyle w:val="Heading2"/>
      </w:pPr>
      <w:bookmarkStart w:id="16" w:name="_Toc141950361"/>
      <w:r>
        <w:lastRenderedPageBreak/>
        <w:t>References</w:t>
      </w:r>
      <w:bookmarkEnd w:id="16"/>
    </w:p>
    <w:p w14:paraId="4445CADB" w14:textId="7751BDBE" w:rsidR="00A362D6" w:rsidRDefault="00A362D6" w:rsidP="000B02BD">
      <w:r>
        <w:t>[</w:t>
      </w:r>
      <w:r>
        <w:fldChar w:fldCharType="begin"/>
      </w:r>
      <w:r>
        <w:instrText xml:space="preserve"> SEQ Reference \* ARABIC </w:instrText>
      </w:r>
      <w:r>
        <w:fldChar w:fldCharType="separate"/>
      </w:r>
      <w:r w:rsidR="000F35BD">
        <w:rPr>
          <w:noProof/>
        </w:rPr>
        <w:t>1</w:t>
      </w:r>
      <w:r>
        <w:fldChar w:fldCharType="end"/>
      </w:r>
      <w:r>
        <w:t xml:space="preserve">] – </w:t>
      </w:r>
      <w:r w:rsidRPr="00347C4E">
        <w:t>Banshee distribution network benchmark and prototyping platform for hardware-in-the-loop integration of microgrid and device controllers. The Journal of Engineering, 2019: 5365-5373. https://doi.org/10.1049/joe.2018.5174</w:t>
      </w:r>
    </w:p>
    <w:p w14:paraId="44840023" w14:textId="04AE1D59" w:rsidR="00A362D6" w:rsidRDefault="00A362D6" w:rsidP="00B85019">
      <w:r>
        <w:t>[</w:t>
      </w:r>
      <w:r>
        <w:fldChar w:fldCharType="begin"/>
      </w:r>
      <w:r>
        <w:instrText xml:space="preserve"> SEQ Reference \* ARABIC </w:instrText>
      </w:r>
      <w:r>
        <w:fldChar w:fldCharType="separate"/>
      </w:r>
      <w:r w:rsidR="000F35BD">
        <w:rPr>
          <w:noProof/>
        </w:rPr>
        <w:t>2</w:t>
      </w:r>
      <w:r>
        <w:fldChar w:fldCharType="end"/>
      </w:r>
      <w:r>
        <w:t>] – Electric Power Hardware-in-the-loop Controls Collaborative. Available at https://github.com/PowerSystemsHIL/EPHCC/releases/download/BansheeBenchmark/Supporting.Data.for.Banshee.Benchmark.Paper.zip</w:t>
      </w:r>
    </w:p>
    <w:p w14:paraId="12BA10FF" w14:textId="750D19B2" w:rsidR="000B02BD" w:rsidRPr="005F5091" w:rsidRDefault="000B02BD" w:rsidP="00B85019">
      <w:r>
        <w:t>[</w:t>
      </w:r>
      <w:r>
        <w:fldChar w:fldCharType="begin"/>
      </w:r>
      <w:r>
        <w:instrText xml:space="preserve"> SEQ Reference \* ARABIC </w:instrText>
      </w:r>
      <w:r>
        <w:fldChar w:fldCharType="separate"/>
      </w:r>
      <w:r w:rsidR="000F35BD">
        <w:rPr>
          <w:noProof/>
        </w:rPr>
        <w:t>3</w:t>
      </w:r>
      <w:r>
        <w:fldChar w:fldCharType="end"/>
      </w:r>
      <w:r w:rsidRPr="000B02BD">
        <w:t>] - Coupling component placement and parametrization - Ideal Transformer based couplings. https://www.typhoon-hil.com/documentation/typhoon-hil-software-manual/concepts/coupling_placement_IT.html</w:t>
      </w:r>
    </w:p>
    <w:p w14:paraId="29719285" w14:textId="330EDB51" w:rsidR="00A362D6" w:rsidRDefault="00B85019" w:rsidP="00FE4A3D">
      <w:pPr>
        <w:rPr>
          <w:shd w:val="clear" w:color="auto" w:fill="FFFFFF"/>
        </w:rPr>
      </w:pPr>
      <w:r>
        <w:t>[</w:t>
      </w:r>
      <w:r>
        <w:fldChar w:fldCharType="begin"/>
      </w:r>
      <w:r>
        <w:instrText xml:space="preserve"> SEQ Reference \* ARABIC </w:instrText>
      </w:r>
      <w:r>
        <w:fldChar w:fldCharType="separate"/>
      </w:r>
      <w:r w:rsidR="000F35BD">
        <w:rPr>
          <w:noProof/>
        </w:rPr>
        <w:t>4</w:t>
      </w:r>
      <w:r>
        <w:fldChar w:fldCharType="end"/>
      </w:r>
      <w:r>
        <w:t xml:space="preserve">] - </w:t>
      </w:r>
      <w:r>
        <w:rPr>
          <w:shd w:val="clear" w:color="auto" w:fill="FFFFFF"/>
        </w:rPr>
        <w:t xml:space="preserve">W. Ren, M. </w:t>
      </w:r>
      <w:proofErr w:type="spellStart"/>
      <w:r>
        <w:rPr>
          <w:shd w:val="clear" w:color="auto" w:fill="FFFFFF"/>
        </w:rPr>
        <w:t>Steurer</w:t>
      </w:r>
      <w:proofErr w:type="spellEnd"/>
      <w:r>
        <w:rPr>
          <w:shd w:val="clear" w:color="auto" w:fill="FFFFFF"/>
        </w:rPr>
        <w:t xml:space="preserve"> and T. L. Baldwin, "Improve the Stability and the </w:t>
      </w:r>
      <w:r w:rsidRPr="00550E32">
        <w:t xml:space="preserve">Accuracy of Power Hardware-in-the-Loop Simulation by Selecting Appropriate Interface Algorithms,"2007 IEEE/IAS Industrial &amp; Commercial Power Systems Technical Conference, Edmonton, AB, Canada, </w:t>
      </w:r>
      <w:r>
        <w:rPr>
          <w:shd w:val="clear" w:color="auto" w:fill="FFFFFF"/>
        </w:rPr>
        <w:t xml:space="preserve">2007, pp. 1-7, </w:t>
      </w:r>
      <w:proofErr w:type="spellStart"/>
      <w:r>
        <w:rPr>
          <w:shd w:val="clear" w:color="auto" w:fill="FFFFFF"/>
        </w:rPr>
        <w:t>doi</w:t>
      </w:r>
      <w:proofErr w:type="spellEnd"/>
      <w:r>
        <w:rPr>
          <w:shd w:val="clear" w:color="auto" w:fill="FFFFFF"/>
        </w:rPr>
        <w:t>: 10.1109/ICPS.2007.4292112</w:t>
      </w:r>
    </w:p>
    <w:p w14:paraId="7548097E" w14:textId="20737548" w:rsidR="00EA01A4" w:rsidRDefault="00EA01A4" w:rsidP="00EA01A4">
      <w:r>
        <w:t>[</w:t>
      </w:r>
      <w:r>
        <w:fldChar w:fldCharType="begin"/>
      </w:r>
      <w:r>
        <w:instrText xml:space="preserve"> SEQ Reference \* ARABIC </w:instrText>
      </w:r>
      <w:r>
        <w:fldChar w:fldCharType="separate"/>
      </w:r>
      <w:r w:rsidR="000F35BD">
        <w:rPr>
          <w:noProof/>
        </w:rPr>
        <w:t>5</w:t>
      </w:r>
      <w:r>
        <w:fldChar w:fldCharType="end"/>
      </w:r>
      <w:r>
        <w:t xml:space="preserve">] - </w:t>
      </w:r>
      <w:r>
        <w:rPr>
          <w:shd w:val="clear" w:color="auto" w:fill="FFFFFF"/>
        </w:rPr>
        <w:t xml:space="preserve">J. </w:t>
      </w:r>
      <w:proofErr w:type="spellStart"/>
      <w:r>
        <w:rPr>
          <w:shd w:val="clear" w:color="auto" w:fill="FFFFFF"/>
        </w:rPr>
        <w:t>Dolenc</w:t>
      </w:r>
      <w:proofErr w:type="spellEnd"/>
      <w:r>
        <w:rPr>
          <w:shd w:val="clear" w:color="auto" w:fill="FFFFFF"/>
        </w:rPr>
        <w:t xml:space="preserve">, A. </w:t>
      </w:r>
      <w:proofErr w:type="spellStart"/>
      <w:r>
        <w:rPr>
          <w:shd w:val="clear" w:color="auto" w:fill="FFFFFF"/>
        </w:rPr>
        <w:t>Božiček</w:t>
      </w:r>
      <w:proofErr w:type="spellEnd"/>
      <w:r>
        <w:rPr>
          <w:shd w:val="clear" w:color="auto" w:fill="FFFFFF"/>
        </w:rPr>
        <w:t xml:space="preserve"> and B. </w:t>
      </w:r>
      <w:proofErr w:type="spellStart"/>
      <w:r>
        <w:rPr>
          <w:shd w:val="clear" w:color="auto" w:fill="FFFFFF"/>
        </w:rPr>
        <w:t>Blažič</w:t>
      </w:r>
      <w:proofErr w:type="spellEnd"/>
      <w:r>
        <w:rPr>
          <w:shd w:val="clear" w:color="auto" w:fill="FFFFFF"/>
        </w:rPr>
        <w:t>, "Stability analysis of an Ideal-Transformer-Model interface algorithm,"</w:t>
      </w:r>
      <w:r w:rsidRPr="00EA01A4">
        <w:t xml:space="preserve">2019 7th International Youth Conference on Energy (IYCE), Bled, Slovenia, 2019, pp. 1-6, </w:t>
      </w:r>
      <w:proofErr w:type="spellStart"/>
      <w:r w:rsidRPr="00EA01A4">
        <w:t>doi</w:t>
      </w:r>
      <w:proofErr w:type="spellEnd"/>
      <w:r w:rsidRPr="00EA01A4">
        <w:t>: 10.1109/IYCE45807.2019.8991575.</w:t>
      </w:r>
    </w:p>
    <w:sectPr w:rsidR="00EA01A4" w:rsidSect="006E489E">
      <w:headerReference w:type="even" r:id="rId24"/>
      <w:headerReference w:type="default" r:id="rId25"/>
      <w:footerReference w:type="even" r:id="rId26"/>
      <w:footerReference w:type="default" r:id="rId27"/>
      <w:footerReference w:type="first" r:id="rId28"/>
      <w:pgSz w:w="11906" w:h="16838"/>
      <w:pgMar w:top="1138" w:right="1138" w:bottom="1138" w:left="1138" w:header="562" w:footer="56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C244AF" w14:textId="77777777" w:rsidR="00E52B99" w:rsidRDefault="00E52B99" w:rsidP="00130A7F">
      <w:r>
        <w:separator/>
      </w:r>
    </w:p>
    <w:p w14:paraId="57D1C2D7" w14:textId="77777777" w:rsidR="00E52B99" w:rsidRDefault="00E52B99" w:rsidP="00130A7F"/>
    <w:p w14:paraId="252CA712" w14:textId="77777777" w:rsidR="00E52B99" w:rsidRDefault="00E52B99" w:rsidP="00130A7F"/>
  </w:endnote>
  <w:endnote w:type="continuationSeparator" w:id="0">
    <w:p w14:paraId="7C3FD44C" w14:textId="77777777" w:rsidR="00E52B99" w:rsidRDefault="00E52B99" w:rsidP="00130A7F">
      <w:r>
        <w:continuationSeparator/>
      </w:r>
    </w:p>
    <w:p w14:paraId="37C070BB" w14:textId="77777777" w:rsidR="00E52B99" w:rsidRDefault="00E52B99" w:rsidP="00130A7F"/>
    <w:p w14:paraId="6CB178FE" w14:textId="77777777" w:rsidR="00E52B99" w:rsidRDefault="00E52B99" w:rsidP="00130A7F"/>
  </w:endnote>
  <w:endnote w:type="continuationNotice" w:id="1">
    <w:p w14:paraId="737FDEB8" w14:textId="77777777" w:rsidR="00E52B99" w:rsidRDefault="00E52B99" w:rsidP="00130A7F"/>
    <w:p w14:paraId="0B903CA5" w14:textId="77777777" w:rsidR="00E52B99" w:rsidRDefault="00E52B99" w:rsidP="00130A7F"/>
    <w:p w14:paraId="37734CE6" w14:textId="77777777" w:rsidR="00E52B99" w:rsidRDefault="00E52B99" w:rsidP="00130A7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45 Light">
    <w:altName w:val="Arial"/>
    <w:panose1 w:val="00000000000000000000"/>
    <w:charset w:val="00"/>
    <w:family w:val="swiss"/>
    <w:notTrueType/>
    <w:pitch w:val="variable"/>
    <w:sig w:usb0="800000AF" w:usb1="4000004A"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15AA6" w14:textId="77777777" w:rsidR="00EA5F22" w:rsidRDefault="00EA5F22" w:rsidP="00130A7F">
    <w:pPr>
      <w:pStyle w:val="Footer"/>
    </w:pPr>
  </w:p>
  <w:p w14:paraId="4A6FC17F" w14:textId="77777777" w:rsidR="00CB593B" w:rsidRDefault="00CB593B" w:rsidP="00130A7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1"/>
      <w:gridCol w:w="3209"/>
    </w:tblGrid>
    <w:tr w:rsidR="001D709C" w14:paraId="0A505AE4" w14:textId="77777777" w:rsidTr="0076582E">
      <w:tc>
        <w:tcPr>
          <w:tcW w:w="1667" w:type="pct"/>
          <w:shd w:val="clear" w:color="auto" w:fill="auto"/>
        </w:tcPr>
        <w:p w14:paraId="48AD62A8" w14:textId="678F5380" w:rsidR="001D709C" w:rsidRPr="0076582E" w:rsidRDefault="0076582E" w:rsidP="00130A7F">
          <w:pPr>
            <w:pStyle w:val="Footer"/>
          </w:pPr>
          <w:r w:rsidRPr="0076582E">
            <w:t xml:space="preserve">Typhoon HIL </w:t>
          </w:r>
          <w:proofErr w:type="spellStart"/>
          <w:r w:rsidRPr="0076582E">
            <w:t>OpenDSS</w:t>
          </w:r>
          <w:proofErr w:type="spellEnd"/>
        </w:p>
      </w:tc>
      <w:tc>
        <w:tcPr>
          <w:tcW w:w="1667" w:type="pct"/>
        </w:tcPr>
        <w:p w14:paraId="3EAEA24B" w14:textId="77777777" w:rsidR="001D709C" w:rsidRDefault="001D709C" w:rsidP="00130A7F">
          <w:pPr>
            <w:pStyle w:val="Footer"/>
          </w:pPr>
        </w:p>
      </w:tc>
      <w:tc>
        <w:tcPr>
          <w:tcW w:w="1667" w:type="pct"/>
          <w:shd w:val="clear" w:color="auto" w:fill="FF0000"/>
          <w:vAlign w:val="center"/>
        </w:tcPr>
        <w:p w14:paraId="4C94FA3A" w14:textId="08FD99F6" w:rsidR="001D709C" w:rsidRPr="0076582E" w:rsidRDefault="0076582E" w:rsidP="00130A7F">
          <w:pPr>
            <w:pStyle w:val="Footer"/>
          </w:pPr>
          <w:r w:rsidRPr="0076582E">
            <w:t xml:space="preserve">Page </w:t>
          </w:r>
          <w:r w:rsidR="001D709C" w:rsidRPr="0076582E">
            <w:fldChar w:fldCharType="begin"/>
          </w:r>
          <w:r w:rsidR="001D709C" w:rsidRPr="0076582E">
            <w:instrText xml:space="preserve"> PAGE   \* MERGEFORMAT </w:instrText>
          </w:r>
          <w:r w:rsidR="001D709C" w:rsidRPr="0076582E">
            <w:fldChar w:fldCharType="separate"/>
          </w:r>
          <w:r w:rsidR="001D709C" w:rsidRPr="0076582E">
            <w:rPr>
              <w:noProof/>
            </w:rPr>
            <w:t>1</w:t>
          </w:r>
          <w:r w:rsidR="001D709C" w:rsidRPr="0076582E">
            <w:rPr>
              <w:noProof/>
            </w:rPr>
            <w:fldChar w:fldCharType="end"/>
          </w:r>
          <w:r w:rsidRPr="0076582E">
            <w:rPr>
              <w:noProof/>
            </w:rPr>
            <w:t xml:space="preserve"> of </w:t>
          </w:r>
          <w:fldSimple w:instr="NUMPAGES  \* Arabic  \* MERGEFORMAT">
            <w:r w:rsidRPr="0076582E">
              <w:rPr>
                <w:noProof/>
              </w:rPr>
              <w:t>16</w:t>
            </w:r>
          </w:fldSimple>
        </w:p>
      </w:tc>
    </w:tr>
  </w:tbl>
  <w:p w14:paraId="39792E22" w14:textId="11AAC41B" w:rsidR="0092542E" w:rsidRPr="001D709C" w:rsidRDefault="0092542E" w:rsidP="00130A7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5FC44E" w14:textId="328AE7E1" w:rsidR="0092542E" w:rsidRDefault="00D72B48" w:rsidP="00130A7F">
    <w:pPr>
      <w:pStyle w:val="Footer"/>
    </w:pPr>
    <w:r>
      <w:rPr>
        <w:noProof/>
      </w:rPr>
      <mc:AlternateContent>
        <mc:Choice Requires="wps">
          <w:drawing>
            <wp:anchor distT="45720" distB="45720" distL="114300" distR="114300" simplePos="0" relativeHeight="251660289" behindDoc="0" locked="0" layoutInCell="1" allowOverlap="1" wp14:anchorId="3DF50717" wp14:editId="1C20D4A8">
              <wp:simplePos x="0" y="0"/>
              <wp:positionH relativeFrom="margin">
                <wp:align>left</wp:align>
              </wp:positionH>
              <wp:positionV relativeFrom="paragraph">
                <wp:posOffset>102235</wp:posOffset>
              </wp:positionV>
              <wp:extent cx="1371600" cy="396240"/>
              <wp:effectExtent l="0" t="0" r="0"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96240"/>
                      </a:xfrm>
                      <a:prstGeom prst="rect">
                        <a:avLst/>
                      </a:prstGeom>
                      <a:solidFill>
                        <a:srgbClr val="FF0000"/>
                      </a:solidFill>
                      <a:ln w="9525">
                        <a:noFill/>
                        <a:miter lim="800000"/>
                        <a:headEnd/>
                        <a:tailEnd/>
                      </a:ln>
                    </wps:spPr>
                    <wps:txbx>
                      <w:txbxContent>
                        <w:p w14:paraId="2B39BC71" w14:textId="77777777" w:rsidR="0092542E" w:rsidRPr="00CD3F13" w:rsidRDefault="0092542E" w:rsidP="00130A7F">
                          <w:r w:rsidRPr="00CD3F13">
                            <w:t>HILCompatible</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3DF50717" id="_x0000_t202" coordsize="21600,21600" o:spt="202" path="m,l,21600r21600,l21600,xe">
              <v:stroke joinstyle="miter"/>
              <v:path gradientshapeok="t" o:connecttype="rect"/>
            </v:shapetype>
            <v:shape id="Text Box 2" o:spid="_x0000_s1026" type="#_x0000_t202" style="position:absolute;left:0;text-align:left;margin-left:0;margin-top:8.05pt;width:108pt;height:31.2pt;z-index:251660289;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" fillcolor="red" stroked="f">
              <v:textbox>
                <w:txbxContent>
                  <w:p w14:paraId="2B39BC71" w14:textId="77777777" w:rsidR="0092542E" w:rsidRPr="00CD3F13" w:rsidRDefault="0092542E" w:rsidP="00130A7F">
                    <w:r w:rsidRPr="00CD3F13">
                      <w:t>HILCompatible</w:t>
                    </w:r>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C351B3" w14:textId="77777777" w:rsidR="00E52B99" w:rsidRDefault="00E52B99" w:rsidP="00130A7F">
      <w:r>
        <w:separator/>
      </w:r>
    </w:p>
    <w:p w14:paraId="432216CB" w14:textId="77777777" w:rsidR="00E52B99" w:rsidRDefault="00E52B99" w:rsidP="00130A7F"/>
    <w:p w14:paraId="0DD150A0" w14:textId="77777777" w:rsidR="00E52B99" w:rsidRDefault="00E52B99" w:rsidP="00130A7F"/>
  </w:footnote>
  <w:footnote w:type="continuationSeparator" w:id="0">
    <w:p w14:paraId="7CCE549F" w14:textId="77777777" w:rsidR="00E52B99" w:rsidRDefault="00E52B99" w:rsidP="00130A7F">
      <w:r>
        <w:continuationSeparator/>
      </w:r>
    </w:p>
    <w:p w14:paraId="129140D0" w14:textId="77777777" w:rsidR="00E52B99" w:rsidRDefault="00E52B99" w:rsidP="00130A7F"/>
    <w:p w14:paraId="69703883" w14:textId="77777777" w:rsidR="00E52B99" w:rsidRDefault="00E52B99" w:rsidP="00130A7F"/>
  </w:footnote>
  <w:footnote w:type="continuationNotice" w:id="1">
    <w:p w14:paraId="35C1F08D" w14:textId="77777777" w:rsidR="00E52B99" w:rsidRDefault="00E52B99" w:rsidP="00130A7F"/>
    <w:p w14:paraId="6C362BBC" w14:textId="77777777" w:rsidR="00E52B99" w:rsidRDefault="00E52B99" w:rsidP="00130A7F"/>
    <w:p w14:paraId="7538B551" w14:textId="77777777" w:rsidR="00E52B99" w:rsidRDefault="00E52B99" w:rsidP="00130A7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76659" w14:textId="77777777" w:rsidR="00EA5F22" w:rsidRDefault="00EA5F22" w:rsidP="00130A7F">
    <w:pPr>
      <w:pStyle w:val="Header"/>
    </w:pPr>
  </w:p>
  <w:p w14:paraId="7B7F4E87" w14:textId="77777777" w:rsidR="00CB593B" w:rsidRDefault="00CB593B" w:rsidP="00130A7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8CE21" w14:textId="77777777" w:rsidR="00EA5F22" w:rsidRDefault="00EA5F22" w:rsidP="00130A7F">
    <w:pPr>
      <w:pStyle w:val="Header"/>
    </w:pPr>
  </w:p>
  <w:p w14:paraId="2D078750" w14:textId="77777777" w:rsidR="00CB593B" w:rsidRDefault="00CB593B" w:rsidP="00130A7F"/>
</w:hdr>
</file>

<file path=word/intelligence2.xml><?xml version="1.0" encoding="utf-8"?>
<int2:intelligence xmlns:int2="http://schemas.microsoft.com/office/intelligence/2020/intelligence" xmlns:oel="http://schemas.microsoft.com/office/2019/extlst">
  <int2:observations>
    <int2:textHash int2:hashCode="SOVj8UjcBNizHJ" int2:id="fdKTlIwk">
      <int2:state int2:value="Rejected" int2:type="AugLoop_Text_Critique"/>
    </int2:textHash>
    <int2:textHash int2:hashCode="02FRqu/FJuBA9s" int2:id="zVqBa6hP">
      <int2:state int2:value="Rejected" int2:type="AugLoop_Text_Critique"/>
    </int2:textHash>
    <int2:textHash int2:hashCode="c3ifYSHiMZUwMk" int2:id="iXN5Dyyl">
      <int2:state int2:value="Rejected" int2:type="AugLoop_Text_Critique"/>
    </int2:textHash>
    <int2:textHash int2:hashCode="AT3jpCDZ86ptlQ" int2:id="9hCE4jlB">
      <int2:state int2:value="Rejected" int2:type="AugLoop_Text_Critique"/>
    </int2:textHash>
    <int2:textHash int2:hashCode="2KzlEYOxs3AS4H" int2:id="bwIZyALS">
      <int2:state int2:value="Rejected" int2:type="AugLoop_Text_Critique"/>
    </int2:textHash>
    <int2:textHash int2:hashCode="nECooyetvXp1AY" int2:id="129feEGW">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FF0AB1"/>
    <w:multiLevelType w:val="hybridMultilevel"/>
    <w:tmpl w:val="9D961806"/>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C614A9"/>
    <w:multiLevelType w:val="hybridMultilevel"/>
    <w:tmpl w:val="E938A736"/>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A76DEB"/>
    <w:multiLevelType w:val="hybridMultilevel"/>
    <w:tmpl w:val="2548944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EA68B6"/>
    <w:multiLevelType w:val="hybridMultilevel"/>
    <w:tmpl w:val="83FE1AEA"/>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133E80"/>
    <w:multiLevelType w:val="hybridMultilevel"/>
    <w:tmpl w:val="F85ED4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9104171"/>
    <w:multiLevelType w:val="hybridMultilevel"/>
    <w:tmpl w:val="BCFA65A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B5A0112"/>
    <w:multiLevelType w:val="hybridMultilevel"/>
    <w:tmpl w:val="B71894E8"/>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AB766A"/>
    <w:multiLevelType w:val="hybridMultilevel"/>
    <w:tmpl w:val="BFEEC7B0"/>
    <w:lvl w:ilvl="0" w:tplc="2B222056">
      <w:start w:val="1"/>
      <w:numFmt w:val="bullet"/>
      <w:lvlText w:val=""/>
      <w:lvlJc w:val="left"/>
      <w:pPr>
        <w:ind w:left="720" w:hanging="360"/>
      </w:pPr>
      <w:rPr>
        <w:rFonts w:ascii="Symbol" w:hAnsi="Symbol" w:hint="default"/>
      </w:rPr>
    </w:lvl>
    <w:lvl w:ilvl="1" w:tplc="DFF8F012">
      <w:start w:val="1"/>
      <w:numFmt w:val="bullet"/>
      <w:lvlText w:val="o"/>
      <w:lvlJc w:val="left"/>
      <w:pPr>
        <w:ind w:left="1440" w:hanging="360"/>
      </w:pPr>
      <w:rPr>
        <w:rFonts w:ascii="Courier New" w:hAnsi="Courier New" w:hint="default"/>
      </w:rPr>
    </w:lvl>
    <w:lvl w:ilvl="2" w:tplc="78605C16">
      <w:start w:val="1"/>
      <w:numFmt w:val="bullet"/>
      <w:lvlText w:val=""/>
      <w:lvlJc w:val="left"/>
      <w:pPr>
        <w:ind w:left="2160" w:hanging="360"/>
      </w:pPr>
      <w:rPr>
        <w:rFonts w:ascii="Wingdings" w:hAnsi="Wingdings" w:hint="default"/>
      </w:rPr>
    </w:lvl>
    <w:lvl w:ilvl="3" w:tplc="3E64063E">
      <w:start w:val="1"/>
      <w:numFmt w:val="bullet"/>
      <w:lvlText w:val=""/>
      <w:lvlJc w:val="left"/>
      <w:pPr>
        <w:ind w:left="2880" w:hanging="360"/>
      </w:pPr>
      <w:rPr>
        <w:rFonts w:ascii="Symbol" w:hAnsi="Symbol" w:hint="default"/>
      </w:rPr>
    </w:lvl>
    <w:lvl w:ilvl="4" w:tplc="F8149DB2">
      <w:start w:val="1"/>
      <w:numFmt w:val="bullet"/>
      <w:lvlText w:val="o"/>
      <w:lvlJc w:val="left"/>
      <w:pPr>
        <w:ind w:left="3600" w:hanging="360"/>
      </w:pPr>
      <w:rPr>
        <w:rFonts w:ascii="Courier New" w:hAnsi="Courier New" w:hint="default"/>
      </w:rPr>
    </w:lvl>
    <w:lvl w:ilvl="5" w:tplc="1B8C3534">
      <w:start w:val="1"/>
      <w:numFmt w:val="bullet"/>
      <w:lvlText w:val=""/>
      <w:lvlJc w:val="left"/>
      <w:pPr>
        <w:ind w:left="4320" w:hanging="360"/>
      </w:pPr>
      <w:rPr>
        <w:rFonts w:ascii="Wingdings" w:hAnsi="Wingdings" w:hint="default"/>
      </w:rPr>
    </w:lvl>
    <w:lvl w:ilvl="6" w:tplc="53766702">
      <w:start w:val="1"/>
      <w:numFmt w:val="bullet"/>
      <w:lvlText w:val=""/>
      <w:lvlJc w:val="left"/>
      <w:pPr>
        <w:ind w:left="5040" w:hanging="360"/>
      </w:pPr>
      <w:rPr>
        <w:rFonts w:ascii="Symbol" w:hAnsi="Symbol" w:hint="default"/>
      </w:rPr>
    </w:lvl>
    <w:lvl w:ilvl="7" w:tplc="39BADE62">
      <w:start w:val="1"/>
      <w:numFmt w:val="bullet"/>
      <w:lvlText w:val="o"/>
      <w:lvlJc w:val="left"/>
      <w:pPr>
        <w:ind w:left="5760" w:hanging="360"/>
      </w:pPr>
      <w:rPr>
        <w:rFonts w:ascii="Courier New" w:hAnsi="Courier New" w:hint="default"/>
      </w:rPr>
    </w:lvl>
    <w:lvl w:ilvl="8" w:tplc="085CFA80">
      <w:start w:val="1"/>
      <w:numFmt w:val="bullet"/>
      <w:lvlText w:val=""/>
      <w:lvlJc w:val="left"/>
      <w:pPr>
        <w:ind w:left="6480" w:hanging="360"/>
      </w:pPr>
      <w:rPr>
        <w:rFonts w:ascii="Wingdings" w:hAnsi="Wingdings" w:hint="default"/>
      </w:rPr>
    </w:lvl>
  </w:abstractNum>
  <w:abstractNum w:abstractNumId="8" w15:restartNumberingAfterBreak="0">
    <w:nsid w:val="1E9B665C"/>
    <w:multiLevelType w:val="hybridMultilevel"/>
    <w:tmpl w:val="4A0AEAC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2A5356"/>
    <w:multiLevelType w:val="hybridMultilevel"/>
    <w:tmpl w:val="83C4768E"/>
    <w:lvl w:ilvl="0" w:tplc="A92692A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1F15A59"/>
    <w:multiLevelType w:val="hybridMultilevel"/>
    <w:tmpl w:val="C43A82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22F67012"/>
    <w:multiLevelType w:val="hybridMultilevel"/>
    <w:tmpl w:val="6994E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941CD7"/>
    <w:multiLevelType w:val="multilevel"/>
    <w:tmpl w:val="174E6A2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550164B"/>
    <w:multiLevelType w:val="hybridMultilevel"/>
    <w:tmpl w:val="13C0FF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55C66DE"/>
    <w:multiLevelType w:val="hybridMultilevel"/>
    <w:tmpl w:val="1BB2E39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28755D00"/>
    <w:multiLevelType w:val="multilevel"/>
    <w:tmpl w:val="1AEE7710"/>
    <w:lvl w:ilvl="0">
      <w:start w:val="1"/>
      <w:numFmt w:val="bullet"/>
      <w:lvlText w:val=""/>
      <w:lvlJc w:val="left"/>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2D571448"/>
    <w:multiLevelType w:val="hybridMultilevel"/>
    <w:tmpl w:val="DCBA5F8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2E301B48"/>
    <w:multiLevelType w:val="hybridMultilevel"/>
    <w:tmpl w:val="A8AA2CC0"/>
    <w:lvl w:ilvl="0" w:tplc="1C00A8A0">
      <w:start w:val="1"/>
      <w:numFmt w:val="upperRoman"/>
      <w:lvlText w:val="%1."/>
      <w:lvlJc w:val="right"/>
      <w:pPr>
        <w:ind w:left="927"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F9063FA"/>
    <w:multiLevelType w:val="hybridMultilevel"/>
    <w:tmpl w:val="677EBBF4"/>
    <w:lvl w:ilvl="0" w:tplc="09DA5E1A">
      <w:start w:val="6"/>
      <w:numFmt w:val="bullet"/>
      <w:lvlText w:val="-"/>
      <w:lvlJc w:val="left"/>
      <w:pPr>
        <w:ind w:left="720" w:hanging="360"/>
      </w:pPr>
      <w:rPr>
        <w:rFonts w:ascii="Helvetica" w:eastAsiaTheme="minorHAnsi" w:hAnsi="Helvetica"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6F4181"/>
    <w:multiLevelType w:val="hybridMultilevel"/>
    <w:tmpl w:val="7A86D6F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3C1F3E8A"/>
    <w:multiLevelType w:val="multilevel"/>
    <w:tmpl w:val="DFEAD37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C511FB7"/>
    <w:multiLevelType w:val="hybridMultilevel"/>
    <w:tmpl w:val="CDD03FE2"/>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8D16A5"/>
    <w:multiLevelType w:val="hybridMultilevel"/>
    <w:tmpl w:val="F47A8E0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3037960"/>
    <w:multiLevelType w:val="hybridMultilevel"/>
    <w:tmpl w:val="7734971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44A05C7"/>
    <w:multiLevelType w:val="hybridMultilevel"/>
    <w:tmpl w:val="B6F2F704"/>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616884"/>
    <w:multiLevelType w:val="hybridMultilevel"/>
    <w:tmpl w:val="A8F67368"/>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224E11"/>
    <w:multiLevelType w:val="hybridMultilevel"/>
    <w:tmpl w:val="62DE4EDC"/>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B4720DD"/>
    <w:multiLevelType w:val="hybridMultilevel"/>
    <w:tmpl w:val="DC3ECCDE"/>
    <w:lvl w:ilvl="0" w:tplc="17604524">
      <w:start w:val="1"/>
      <w:numFmt w:val="bullet"/>
      <w:lvlText w:val=""/>
      <w:lvlJc w:val="left"/>
      <w:pPr>
        <w:tabs>
          <w:tab w:val="num" w:pos="720"/>
        </w:tabs>
        <w:ind w:left="720" w:hanging="360"/>
      </w:pPr>
      <w:rPr>
        <w:rFonts w:ascii="Wingdings" w:hAnsi="Wingdings" w:hint="default"/>
      </w:rPr>
    </w:lvl>
    <w:lvl w:ilvl="1" w:tplc="F8E61D9E">
      <w:start w:val="91"/>
      <w:numFmt w:val="bullet"/>
      <w:lvlText w:val=""/>
      <w:lvlJc w:val="left"/>
      <w:pPr>
        <w:tabs>
          <w:tab w:val="num" w:pos="1440"/>
        </w:tabs>
        <w:ind w:left="1440" w:hanging="360"/>
      </w:pPr>
      <w:rPr>
        <w:rFonts w:ascii="Wingdings" w:hAnsi="Wingdings" w:hint="default"/>
      </w:rPr>
    </w:lvl>
    <w:lvl w:ilvl="2" w:tplc="C1A8D3D2" w:tentative="1">
      <w:start w:val="1"/>
      <w:numFmt w:val="bullet"/>
      <w:lvlText w:val=""/>
      <w:lvlJc w:val="left"/>
      <w:pPr>
        <w:tabs>
          <w:tab w:val="num" w:pos="2160"/>
        </w:tabs>
        <w:ind w:left="2160" w:hanging="360"/>
      </w:pPr>
      <w:rPr>
        <w:rFonts w:ascii="Wingdings" w:hAnsi="Wingdings" w:hint="default"/>
      </w:rPr>
    </w:lvl>
    <w:lvl w:ilvl="3" w:tplc="98FEE656" w:tentative="1">
      <w:start w:val="1"/>
      <w:numFmt w:val="bullet"/>
      <w:lvlText w:val=""/>
      <w:lvlJc w:val="left"/>
      <w:pPr>
        <w:tabs>
          <w:tab w:val="num" w:pos="2880"/>
        </w:tabs>
        <w:ind w:left="2880" w:hanging="360"/>
      </w:pPr>
      <w:rPr>
        <w:rFonts w:ascii="Wingdings" w:hAnsi="Wingdings" w:hint="default"/>
      </w:rPr>
    </w:lvl>
    <w:lvl w:ilvl="4" w:tplc="19669C04" w:tentative="1">
      <w:start w:val="1"/>
      <w:numFmt w:val="bullet"/>
      <w:lvlText w:val=""/>
      <w:lvlJc w:val="left"/>
      <w:pPr>
        <w:tabs>
          <w:tab w:val="num" w:pos="3600"/>
        </w:tabs>
        <w:ind w:left="3600" w:hanging="360"/>
      </w:pPr>
      <w:rPr>
        <w:rFonts w:ascii="Wingdings" w:hAnsi="Wingdings" w:hint="default"/>
      </w:rPr>
    </w:lvl>
    <w:lvl w:ilvl="5" w:tplc="ABF07FEC" w:tentative="1">
      <w:start w:val="1"/>
      <w:numFmt w:val="bullet"/>
      <w:lvlText w:val=""/>
      <w:lvlJc w:val="left"/>
      <w:pPr>
        <w:tabs>
          <w:tab w:val="num" w:pos="4320"/>
        </w:tabs>
        <w:ind w:left="4320" w:hanging="360"/>
      </w:pPr>
      <w:rPr>
        <w:rFonts w:ascii="Wingdings" w:hAnsi="Wingdings" w:hint="default"/>
      </w:rPr>
    </w:lvl>
    <w:lvl w:ilvl="6" w:tplc="28F0C418" w:tentative="1">
      <w:start w:val="1"/>
      <w:numFmt w:val="bullet"/>
      <w:lvlText w:val=""/>
      <w:lvlJc w:val="left"/>
      <w:pPr>
        <w:tabs>
          <w:tab w:val="num" w:pos="5040"/>
        </w:tabs>
        <w:ind w:left="5040" w:hanging="360"/>
      </w:pPr>
      <w:rPr>
        <w:rFonts w:ascii="Wingdings" w:hAnsi="Wingdings" w:hint="default"/>
      </w:rPr>
    </w:lvl>
    <w:lvl w:ilvl="7" w:tplc="4F028D1C" w:tentative="1">
      <w:start w:val="1"/>
      <w:numFmt w:val="bullet"/>
      <w:lvlText w:val=""/>
      <w:lvlJc w:val="left"/>
      <w:pPr>
        <w:tabs>
          <w:tab w:val="num" w:pos="5760"/>
        </w:tabs>
        <w:ind w:left="5760" w:hanging="360"/>
      </w:pPr>
      <w:rPr>
        <w:rFonts w:ascii="Wingdings" w:hAnsi="Wingdings" w:hint="default"/>
      </w:rPr>
    </w:lvl>
    <w:lvl w:ilvl="8" w:tplc="0A3A9726"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C15763B"/>
    <w:multiLevelType w:val="hybridMultilevel"/>
    <w:tmpl w:val="146A6888"/>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147EEF"/>
    <w:multiLevelType w:val="hybridMultilevel"/>
    <w:tmpl w:val="F7E82F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37446ED"/>
    <w:multiLevelType w:val="hybridMultilevel"/>
    <w:tmpl w:val="8554630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4643505"/>
    <w:multiLevelType w:val="hybridMultilevel"/>
    <w:tmpl w:val="5DDEA81A"/>
    <w:lvl w:ilvl="0" w:tplc="0CE61C5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8A0C4B"/>
    <w:multiLevelType w:val="hybridMultilevel"/>
    <w:tmpl w:val="5C104E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ADE41AC"/>
    <w:multiLevelType w:val="hybridMultilevel"/>
    <w:tmpl w:val="9D0AF9CE"/>
    <w:lvl w:ilvl="0" w:tplc="09DA5E1A">
      <w:start w:val="6"/>
      <w:numFmt w:val="bullet"/>
      <w:lvlText w:val="-"/>
      <w:lvlJc w:val="left"/>
      <w:pPr>
        <w:ind w:left="720" w:hanging="360"/>
      </w:pPr>
      <w:rPr>
        <w:rFonts w:ascii="Helvetica" w:eastAsiaTheme="minorHAnsi" w:hAnsi="Helvetica"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D7463EB"/>
    <w:multiLevelType w:val="hybridMultilevel"/>
    <w:tmpl w:val="16AAC6A4"/>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E4C5728"/>
    <w:multiLevelType w:val="hybridMultilevel"/>
    <w:tmpl w:val="38BCE586"/>
    <w:lvl w:ilvl="0" w:tplc="0CE61C5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E5241E0"/>
    <w:multiLevelType w:val="hybridMultilevel"/>
    <w:tmpl w:val="90F0CC7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F7C66E0"/>
    <w:multiLevelType w:val="hybridMultilevel"/>
    <w:tmpl w:val="FDC8A4E0"/>
    <w:lvl w:ilvl="0" w:tplc="08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8" w15:restartNumberingAfterBreak="0">
    <w:nsid w:val="60554BFF"/>
    <w:multiLevelType w:val="hybridMultilevel"/>
    <w:tmpl w:val="6B3E905E"/>
    <w:lvl w:ilvl="0" w:tplc="CE2AB7A6">
      <w:start w:val="1"/>
      <w:numFmt w:val="decimal"/>
      <w:lvlText w:val="%1."/>
      <w:lvlJc w:val="left"/>
      <w:pPr>
        <w:ind w:left="720" w:hanging="360"/>
      </w:pPr>
    </w:lvl>
    <w:lvl w:ilvl="1" w:tplc="D95642EA">
      <w:start w:val="1"/>
      <w:numFmt w:val="lowerLetter"/>
      <w:lvlText w:val="%2."/>
      <w:lvlJc w:val="left"/>
      <w:pPr>
        <w:ind w:left="1440" w:hanging="360"/>
      </w:pPr>
    </w:lvl>
    <w:lvl w:ilvl="2" w:tplc="95383404">
      <w:start w:val="1"/>
      <w:numFmt w:val="lowerRoman"/>
      <w:lvlText w:val="%3."/>
      <w:lvlJc w:val="right"/>
      <w:pPr>
        <w:ind w:left="2160" w:hanging="180"/>
      </w:pPr>
    </w:lvl>
    <w:lvl w:ilvl="3" w:tplc="06CAC2C6">
      <w:start w:val="1"/>
      <w:numFmt w:val="decimal"/>
      <w:lvlText w:val="%4."/>
      <w:lvlJc w:val="left"/>
      <w:pPr>
        <w:ind w:left="2880" w:hanging="360"/>
      </w:pPr>
    </w:lvl>
    <w:lvl w:ilvl="4" w:tplc="BEFAFCF4">
      <w:start w:val="1"/>
      <w:numFmt w:val="lowerLetter"/>
      <w:lvlText w:val="%5."/>
      <w:lvlJc w:val="left"/>
      <w:pPr>
        <w:ind w:left="3600" w:hanging="360"/>
      </w:pPr>
    </w:lvl>
    <w:lvl w:ilvl="5" w:tplc="E99ED9FC">
      <w:start w:val="1"/>
      <w:numFmt w:val="lowerRoman"/>
      <w:lvlText w:val="%6."/>
      <w:lvlJc w:val="right"/>
      <w:pPr>
        <w:ind w:left="4320" w:hanging="180"/>
      </w:pPr>
    </w:lvl>
    <w:lvl w:ilvl="6" w:tplc="1082CE12">
      <w:start w:val="1"/>
      <w:numFmt w:val="decimal"/>
      <w:lvlText w:val="%7."/>
      <w:lvlJc w:val="left"/>
      <w:pPr>
        <w:ind w:left="5040" w:hanging="360"/>
      </w:pPr>
    </w:lvl>
    <w:lvl w:ilvl="7" w:tplc="1E3EB41E">
      <w:start w:val="1"/>
      <w:numFmt w:val="lowerLetter"/>
      <w:lvlText w:val="%8."/>
      <w:lvlJc w:val="left"/>
      <w:pPr>
        <w:ind w:left="5760" w:hanging="360"/>
      </w:pPr>
    </w:lvl>
    <w:lvl w:ilvl="8" w:tplc="8B4C4A20">
      <w:start w:val="1"/>
      <w:numFmt w:val="lowerRoman"/>
      <w:lvlText w:val="%9."/>
      <w:lvlJc w:val="right"/>
      <w:pPr>
        <w:ind w:left="6480" w:hanging="180"/>
      </w:pPr>
    </w:lvl>
  </w:abstractNum>
  <w:abstractNum w:abstractNumId="39" w15:restartNumberingAfterBreak="0">
    <w:nsid w:val="679927DC"/>
    <w:multiLevelType w:val="hybridMultilevel"/>
    <w:tmpl w:val="B540C922"/>
    <w:lvl w:ilvl="0" w:tplc="0CE61C5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C70A26"/>
    <w:multiLevelType w:val="multilevel"/>
    <w:tmpl w:val="F970F4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68DD2778"/>
    <w:multiLevelType w:val="hybridMultilevel"/>
    <w:tmpl w:val="D38A092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17C7D3A"/>
    <w:multiLevelType w:val="hybridMultilevel"/>
    <w:tmpl w:val="CE4CC1F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1E060CC"/>
    <w:multiLevelType w:val="hybridMultilevel"/>
    <w:tmpl w:val="6C18682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7B2E5F38"/>
    <w:multiLevelType w:val="hybridMultilevel"/>
    <w:tmpl w:val="7F74E22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15:restartNumberingAfterBreak="0">
    <w:nsid w:val="7CA0693D"/>
    <w:multiLevelType w:val="hybridMultilevel"/>
    <w:tmpl w:val="FA9E1C40"/>
    <w:lvl w:ilvl="0" w:tplc="0CE61C52">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EC4069F"/>
    <w:multiLevelType w:val="hybridMultilevel"/>
    <w:tmpl w:val="5C34A6F4"/>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num w:numId="1" w16cid:durableId="1939365079">
    <w:abstractNumId w:val="7"/>
  </w:num>
  <w:num w:numId="2" w16cid:durableId="1526216502">
    <w:abstractNumId w:val="38"/>
  </w:num>
  <w:num w:numId="3" w16cid:durableId="1120416856">
    <w:abstractNumId w:val="26"/>
  </w:num>
  <w:num w:numId="4" w16cid:durableId="1909917546">
    <w:abstractNumId w:val="9"/>
  </w:num>
  <w:num w:numId="5" w16cid:durableId="1870878272">
    <w:abstractNumId w:val="17"/>
  </w:num>
  <w:num w:numId="6" w16cid:durableId="808746432">
    <w:abstractNumId w:val="46"/>
  </w:num>
  <w:num w:numId="7" w16cid:durableId="1594587173">
    <w:abstractNumId w:val="32"/>
  </w:num>
  <w:num w:numId="8" w16cid:durableId="1945577236">
    <w:abstractNumId w:val="5"/>
  </w:num>
  <w:num w:numId="9" w16cid:durableId="1935941398">
    <w:abstractNumId w:val="13"/>
  </w:num>
  <w:num w:numId="10" w16cid:durableId="1382172221">
    <w:abstractNumId w:val="23"/>
  </w:num>
  <w:num w:numId="11" w16cid:durableId="1384283000">
    <w:abstractNumId w:val="22"/>
  </w:num>
  <w:num w:numId="12" w16cid:durableId="168371560">
    <w:abstractNumId w:val="33"/>
  </w:num>
  <w:num w:numId="13" w16cid:durableId="1537112774">
    <w:abstractNumId w:val="18"/>
  </w:num>
  <w:num w:numId="14" w16cid:durableId="2006006201">
    <w:abstractNumId w:val="30"/>
  </w:num>
  <w:num w:numId="15" w16cid:durableId="1918244198">
    <w:abstractNumId w:val="8"/>
  </w:num>
  <w:num w:numId="16" w16cid:durableId="1517304750">
    <w:abstractNumId w:val="42"/>
  </w:num>
  <w:num w:numId="17" w16cid:durableId="1807695080">
    <w:abstractNumId w:val="41"/>
  </w:num>
  <w:num w:numId="18" w16cid:durableId="1346592685">
    <w:abstractNumId w:val="2"/>
  </w:num>
  <w:num w:numId="19" w16cid:durableId="247734725">
    <w:abstractNumId w:val="36"/>
  </w:num>
  <w:num w:numId="20" w16cid:durableId="642077347">
    <w:abstractNumId w:val="27"/>
  </w:num>
  <w:num w:numId="21" w16cid:durableId="1495300935">
    <w:abstractNumId w:val="29"/>
  </w:num>
  <w:num w:numId="22" w16cid:durableId="1753699577">
    <w:abstractNumId w:val="19"/>
  </w:num>
  <w:num w:numId="23" w16cid:durableId="2055961491">
    <w:abstractNumId w:val="37"/>
  </w:num>
  <w:num w:numId="24" w16cid:durableId="745305904">
    <w:abstractNumId w:val="1"/>
  </w:num>
  <w:num w:numId="25" w16cid:durableId="1839883820">
    <w:abstractNumId w:val="20"/>
  </w:num>
  <w:num w:numId="26" w16cid:durableId="1464351115">
    <w:abstractNumId w:val="15"/>
  </w:num>
  <w:num w:numId="27" w16cid:durableId="1849708065">
    <w:abstractNumId w:val="45"/>
  </w:num>
  <w:num w:numId="28" w16cid:durableId="1110930825">
    <w:abstractNumId w:val="39"/>
  </w:num>
  <w:num w:numId="29" w16cid:durableId="1831409202">
    <w:abstractNumId w:val="3"/>
  </w:num>
  <w:num w:numId="30" w16cid:durableId="516651899">
    <w:abstractNumId w:val="25"/>
  </w:num>
  <w:num w:numId="31" w16cid:durableId="1856117217">
    <w:abstractNumId w:val="6"/>
  </w:num>
  <w:num w:numId="32" w16cid:durableId="1518890410">
    <w:abstractNumId w:val="35"/>
  </w:num>
  <w:num w:numId="33" w16cid:durableId="422606060">
    <w:abstractNumId w:val="31"/>
  </w:num>
  <w:num w:numId="34" w16cid:durableId="450786121">
    <w:abstractNumId w:val="24"/>
  </w:num>
  <w:num w:numId="35" w16cid:durableId="693074744">
    <w:abstractNumId w:val="0"/>
  </w:num>
  <w:num w:numId="36" w16cid:durableId="2035811035">
    <w:abstractNumId w:val="40"/>
  </w:num>
  <w:num w:numId="37" w16cid:durableId="1617760243">
    <w:abstractNumId w:val="12"/>
  </w:num>
  <w:num w:numId="38" w16cid:durableId="251862778">
    <w:abstractNumId w:val="21"/>
  </w:num>
  <w:num w:numId="39" w16cid:durableId="603422589">
    <w:abstractNumId w:val="28"/>
  </w:num>
  <w:num w:numId="40" w16cid:durableId="132522688">
    <w:abstractNumId w:val="4"/>
  </w:num>
  <w:num w:numId="41" w16cid:durableId="1240290143">
    <w:abstractNumId w:val="11"/>
  </w:num>
  <w:num w:numId="42" w16cid:durableId="1764760963">
    <w:abstractNumId w:val="34"/>
  </w:num>
  <w:num w:numId="43" w16cid:durableId="74711871">
    <w:abstractNumId w:val="14"/>
  </w:num>
  <w:num w:numId="44" w16cid:durableId="1344438074">
    <w:abstractNumId w:val="10"/>
  </w:num>
  <w:num w:numId="45" w16cid:durableId="720789566">
    <w:abstractNumId w:val="44"/>
  </w:num>
  <w:num w:numId="46" w16cid:durableId="1442147879">
    <w:abstractNumId w:val="16"/>
  </w:num>
  <w:num w:numId="47" w16cid:durableId="343677335">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799E"/>
    <w:rsid w:val="000016D9"/>
    <w:rsid w:val="00002A91"/>
    <w:rsid w:val="00007F35"/>
    <w:rsid w:val="00013AD2"/>
    <w:rsid w:val="0001496D"/>
    <w:rsid w:val="000170B2"/>
    <w:rsid w:val="000207D6"/>
    <w:rsid w:val="000220EF"/>
    <w:rsid w:val="0002530B"/>
    <w:rsid w:val="000256DE"/>
    <w:rsid w:val="00025A68"/>
    <w:rsid w:val="0003072E"/>
    <w:rsid w:val="00031941"/>
    <w:rsid w:val="000409FD"/>
    <w:rsid w:val="00043E8A"/>
    <w:rsid w:val="00044924"/>
    <w:rsid w:val="00044D08"/>
    <w:rsid w:val="000455B8"/>
    <w:rsid w:val="00046AD1"/>
    <w:rsid w:val="00047078"/>
    <w:rsid w:val="00051661"/>
    <w:rsid w:val="00052FD9"/>
    <w:rsid w:val="000559E1"/>
    <w:rsid w:val="00055D3C"/>
    <w:rsid w:val="00056FC1"/>
    <w:rsid w:val="000571FD"/>
    <w:rsid w:val="00065D67"/>
    <w:rsid w:val="0006614B"/>
    <w:rsid w:val="00067EE6"/>
    <w:rsid w:val="000709F8"/>
    <w:rsid w:val="00070C02"/>
    <w:rsid w:val="000723DC"/>
    <w:rsid w:val="0007253E"/>
    <w:rsid w:val="0007542C"/>
    <w:rsid w:val="0008036F"/>
    <w:rsid w:val="0008395F"/>
    <w:rsid w:val="00084104"/>
    <w:rsid w:val="000866D7"/>
    <w:rsid w:val="0009246E"/>
    <w:rsid w:val="00095CF9"/>
    <w:rsid w:val="00096E46"/>
    <w:rsid w:val="000A2176"/>
    <w:rsid w:val="000A69B1"/>
    <w:rsid w:val="000B02BD"/>
    <w:rsid w:val="000B2AEA"/>
    <w:rsid w:val="000D0B46"/>
    <w:rsid w:val="000D2D74"/>
    <w:rsid w:val="000E1632"/>
    <w:rsid w:val="000E1FB6"/>
    <w:rsid w:val="000E21A4"/>
    <w:rsid w:val="000E4D46"/>
    <w:rsid w:val="000E7EE5"/>
    <w:rsid w:val="000F35BD"/>
    <w:rsid w:val="000F3BCD"/>
    <w:rsid w:val="000F6511"/>
    <w:rsid w:val="000F6AB1"/>
    <w:rsid w:val="001031D3"/>
    <w:rsid w:val="00113637"/>
    <w:rsid w:val="00113749"/>
    <w:rsid w:val="00114FB4"/>
    <w:rsid w:val="001169B5"/>
    <w:rsid w:val="00117349"/>
    <w:rsid w:val="00117802"/>
    <w:rsid w:val="00120D5A"/>
    <w:rsid w:val="001228B6"/>
    <w:rsid w:val="001233B2"/>
    <w:rsid w:val="00125460"/>
    <w:rsid w:val="00130A7F"/>
    <w:rsid w:val="0013166A"/>
    <w:rsid w:val="00132F44"/>
    <w:rsid w:val="00133368"/>
    <w:rsid w:val="00134914"/>
    <w:rsid w:val="00136C96"/>
    <w:rsid w:val="00136F8D"/>
    <w:rsid w:val="00140CCE"/>
    <w:rsid w:val="001419A3"/>
    <w:rsid w:val="0015176A"/>
    <w:rsid w:val="00152B5D"/>
    <w:rsid w:val="00152D87"/>
    <w:rsid w:val="0015403E"/>
    <w:rsid w:val="001551F7"/>
    <w:rsid w:val="0015585C"/>
    <w:rsid w:val="00155E21"/>
    <w:rsid w:val="00162965"/>
    <w:rsid w:val="00163DBF"/>
    <w:rsid w:val="00164BAD"/>
    <w:rsid w:val="001663FE"/>
    <w:rsid w:val="00170FB3"/>
    <w:rsid w:val="0017317A"/>
    <w:rsid w:val="001752ED"/>
    <w:rsid w:val="0017615E"/>
    <w:rsid w:val="00176CE1"/>
    <w:rsid w:val="00177D15"/>
    <w:rsid w:val="001923F5"/>
    <w:rsid w:val="0019278F"/>
    <w:rsid w:val="001941C0"/>
    <w:rsid w:val="00194C1F"/>
    <w:rsid w:val="00194D01"/>
    <w:rsid w:val="00195938"/>
    <w:rsid w:val="001A4908"/>
    <w:rsid w:val="001A5A40"/>
    <w:rsid w:val="001B233B"/>
    <w:rsid w:val="001B28FD"/>
    <w:rsid w:val="001B57F0"/>
    <w:rsid w:val="001C2169"/>
    <w:rsid w:val="001C410D"/>
    <w:rsid w:val="001C444B"/>
    <w:rsid w:val="001C4A21"/>
    <w:rsid w:val="001C4AF1"/>
    <w:rsid w:val="001C7FCB"/>
    <w:rsid w:val="001D0D4D"/>
    <w:rsid w:val="001D2ABF"/>
    <w:rsid w:val="001D593F"/>
    <w:rsid w:val="001D709C"/>
    <w:rsid w:val="001E1A9F"/>
    <w:rsid w:val="001F0BB2"/>
    <w:rsid w:val="001F3499"/>
    <w:rsid w:val="001F4D1B"/>
    <w:rsid w:val="001F5C65"/>
    <w:rsid w:val="002047CF"/>
    <w:rsid w:val="00213608"/>
    <w:rsid w:val="002202A9"/>
    <w:rsid w:val="002213B9"/>
    <w:rsid w:val="002242C8"/>
    <w:rsid w:val="00227C5A"/>
    <w:rsid w:val="0023462C"/>
    <w:rsid w:val="00240640"/>
    <w:rsid w:val="00240D5A"/>
    <w:rsid w:val="002422C8"/>
    <w:rsid w:val="00251CEC"/>
    <w:rsid w:val="00262A39"/>
    <w:rsid w:val="00262B3F"/>
    <w:rsid w:val="0026590D"/>
    <w:rsid w:val="00265B13"/>
    <w:rsid w:val="00265EFE"/>
    <w:rsid w:val="00267B30"/>
    <w:rsid w:val="0027283A"/>
    <w:rsid w:val="0027371E"/>
    <w:rsid w:val="002737EF"/>
    <w:rsid w:val="002764BB"/>
    <w:rsid w:val="0027774F"/>
    <w:rsid w:val="00284EB5"/>
    <w:rsid w:val="0028667A"/>
    <w:rsid w:val="0028748C"/>
    <w:rsid w:val="00287B26"/>
    <w:rsid w:val="002923B0"/>
    <w:rsid w:val="00293141"/>
    <w:rsid w:val="00294A40"/>
    <w:rsid w:val="00294C43"/>
    <w:rsid w:val="0029671B"/>
    <w:rsid w:val="0029779C"/>
    <w:rsid w:val="002A1C0E"/>
    <w:rsid w:val="002A2EB1"/>
    <w:rsid w:val="002A5D4B"/>
    <w:rsid w:val="002B12B0"/>
    <w:rsid w:val="002B15C7"/>
    <w:rsid w:val="002B1A1E"/>
    <w:rsid w:val="002B4A85"/>
    <w:rsid w:val="002C37FB"/>
    <w:rsid w:val="002C70DD"/>
    <w:rsid w:val="002C7B69"/>
    <w:rsid w:val="002D2814"/>
    <w:rsid w:val="002D316A"/>
    <w:rsid w:val="002D4297"/>
    <w:rsid w:val="002D4968"/>
    <w:rsid w:val="002D4C45"/>
    <w:rsid w:val="002D7BC0"/>
    <w:rsid w:val="002E1AFB"/>
    <w:rsid w:val="002E1D09"/>
    <w:rsid w:val="002E4647"/>
    <w:rsid w:val="002E4CE6"/>
    <w:rsid w:val="002E5A59"/>
    <w:rsid w:val="002E65C3"/>
    <w:rsid w:val="002E6621"/>
    <w:rsid w:val="002E6F04"/>
    <w:rsid w:val="002F4355"/>
    <w:rsid w:val="002F5EBB"/>
    <w:rsid w:val="002F667D"/>
    <w:rsid w:val="003050A4"/>
    <w:rsid w:val="00306616"/>
    <w:rsid w:val="00307615"/>
    <w:rsid w:val="00317383"/>
    <w:rsid w:val="00317A96"/>
    <w:rsid w:val="0032241D"/>
    <w:rsid w:val="003238F8"/>
    <w:rsid w:val="00324336"/>
    <w:rsid w:val="00331C2D"/>
    <w:rsid w:val="00333239"/>
    <w:rsid w:val="00334126"/>
    <w:rsid w:val="00337A00"/>
    <w:rsid w:val="00337D8E"/>
    <w:rsid w:val="00340F39"/>
    <w:rsid w:val="00342202"/>
    <w:rsid w:val="00342755"/>
    <w:rsid w:val="0034277B"/>
    <w:rsid w:val="003506EE"/>
    <w:rsid w:val="003514A8"/>
    <w:rsid w:val="003516EA"/>
    <w:rsid w:val="00353224"/>
    <w:rsid w:val="0035548D"/>
    <w:rsid w:val="00355740"/>
    <w:rsid w:val="00356DC8"/>
    <w:rsid w:val="00360089"/>
    <w:rsid w:val="00360F1D"/>
    <w:rsid w:val="00361B35"/>
    <w:rsid w:val="00363CF1"/>
    <w:rsid w:val="00364B6D"/>
    <w:rsid w:val="00366249"/>
    <w:rsid w:val="00366EAF"/>
    <w:rsid w:val="00370D56"/>
    <w:rsid w:val="00371BE9"/>
    <w:rsid w:val="0037367A"/>
    <w:rsid w:val="00374A95"/>
    <w:rsid w:val="003802BA"/>
    <w:rsid w:val="003806E3"/>
    <w:rsid w:val="003863B5"/>
    <w:rsid w:val="003918DD"/>
    <w:rsid w:val="00392491"/>
    <w:rsid w:val="0039473D"/>
    <w:rsid w:val="00394D92"/>
    <w:rsid w:val="003950C5"/>
    <w:rsid w:val="003A232A"/>
    <w:rsid w:val="003A28D6"/>
    <w:rsid w:val="003A4EDE"/>
    <w:rsid w:val="003B0398"/>
    <w:rsid w:val="003B2FA8"/>
    <w:rsid w:val="003B441D"/>
    <w:rsid w:val="003B5847"/>
    <w:rsid w:val="003B6854"/>
    <w:rsid w:val="003C3DE8"/>
    <w:rsid w:val="003C57E8"/>
    <w:rsid w:val="003C7102"/>
    <w:rsid w:val="003D0A3C"/>
    <w:rsid w:val="003D0EC5"/>
    <w:rsid w:val="003D29A6"/>
    <w:rsid w:val="003D45B9"/>
    <w:rsid w:val="003D4872"/>
    <w:rsid w:val="003D764F"/>
    <w:rsid w:val="003D7DF7"/>
    <w:rsid w:val="003E1F0C"/>
    <w:rsid w:val="003E2590"/>
    <w:rsid w:val="003E3C0A"/>
    <w:rsid w:val="003E4405"/>
    <w:rsid w:val="003E6358"/>
    <w:rsid w:val="003E690B"/>
    <w:rsid w:val="003E7562"/>
    <w:rsid w:val="003F44A2"/>
    <w:rsid w:val="003F54E1"/>
    <w:rsid w:val="0040415D"/>
    <w:rsid w:val="004042F1"/>
    <w:rsid w:val="004049E4"/>
    <w:rsid w:val="00404A2E"/>
    <w:rsid w:val="00407827"/>
    <w:rsid w:val="00407AF4"/>
    <w:rsid w:val="00411E01"/>
    <w:rsid w:val="00412C9E"/>
    <w:rsid w:val="00416D35"/>
    <w:rsid w:val="0042094D"/>
    <w:rsid w:val="00420BB5"/>
    <w:rsid w:val="00420D60"/>
    <w:rsid w:val="004227C5"/>
    <w:rsid w:val="00423D0C"/>
    <w:rsid w:val="00424AFD"/>
    <w:rsid w:val="004272B3"/>
    <w:rsid w:val="00430437"/>
    <w:rsid w:val="00430672"/>
    <w:rsid w:val="00431482"/>
    <w:rsid w:val="00431647"/>
    <w:rsid w:val="004321B7"/>
    <w:rsid w:val="00432869"/>
    <w:rsid w:val="004375A5"/>
    <w:rsid w:val="00443495"/>
    <w:rsid w:val="00443F2D"/>
    <w:rsid w:val="00445A20"/>
    <w:rsid w:val="00450574"/>
    <w:rsid w:val="00452546"/>
    <w:rsid w:val="00452C7F"/>
    <w:rsid w:val="00455635"/>
    <w:rsid w:val="004574A8"/>
    <w:rsid w:val="00460674"/>
    <w:rsid w:val="00464F57"/>
    <w:rsid w:val="004663E0"/>
    <w:rsid w:val="0047566A"/>
    <w:rsid w:val="00475698"/>
    <w:rsid w:val="0047659B"/>
    <w:rsid w:val="00480489"/>
    <w:rsid w:val="004815A7"/>
    <w:rsid w:val="00484132"/>
    <w:rsid w:val="00484D63"/>
    <w:rsid w:val="00491DA4"/>
    <w:rsid w:val="004920F0"/>
    <w:rsid w:val="004A3D94"/>
    <w:rsid w:val="004A4477"/>
    <w:rsid w:val="004A68A9"/>
    <w:rsid w:val="004A7DA1"/>
    <w:rsid w:val="004B0C3B"/>
    <w:rsid w:val="004B3799"/>
    <w:rsid w:val="004B416F"/>
    <w:rsid w:val="004B739A"/>
    <w:rsid w:val="004B75C7"/>
    <w:rsid w:val="004B75DE"/>
    <w:rsid w:val="004B7AB6"/>
    <w:rsid w:val="004C068B"/>
    <w:rsid w:val="004C6220"/>
    <w:rsid w:val="004D1EAB"/>
    <w:rsid w:val="004D2F8E"/>
    <w:rsid w:val="004D38EB"/>
    <w:rsid w:val="004D7DFF"/>
    <w:rsid w:val="004D7E58"/>
    <w:rsid w:val="004E1478"/>
    <w:rsid w:val="004E660A"/>
    <w:rsid w:val="004E74D8"/>
    <w:rsid w:val="004F0017"/>
    <w:rsid w:val="00501354"/>
    <w:rsid w:val="005032D4"/>
    <w:rsid w:val="005042BC"/>
    <w:rsid w:val="0050506F"/>
    <w:rsid w:val="005111DC"/>
    <w:rsid w:val="00513BAC"/>
    <w:rsid w:val="00514AE9"/>
    <w:rsid w:val="00517E6E"/>
    <w:rsid w:val="005203C8"/>
    <w:rsid w:val="005219B0"/>
    <w:rsid w:val="00524A7F"/>
    <w:rsid w:val="00526EED"/>
    <w:rsid w:val="00536DD1"/>
    <w:rsid w:val="00537A75"/>
    <w:rsid w:val="00540226"/>
    <w:rsid w:val="00541DA8"/>
    <w:rsid w:val="005425A7"/>
    <w:rsid w:val="00545503"/>
    <w:rsid w:val="005500EA"/>
    <w:rsid w:val="00550306"/>
    <w:rsid w:val="00550E32"/>
    <w:rsid w:val="005537C2"/>
    <w:rsid w:val="00553ABD"/>
    <w:rsid w:val="00553B64"/>
    <w:rsid w:val="005548B5"/>
    <w:rsid w:val="00557E3E"/>
    <w:rsid w:val="00564F74"/>
    <w:rsid w:val="00570D63"/>
    <w:rsid w:val="00571776"/>
    <w:rsid w:val="00572978"/>
    <w:rsid w:val="0057420E"/>
    <w:rsid w:val="00581059"/>
    <w:rsid w:val="0058247B"/>
    <w:rsid w:val="00582B0D"/>
    <w:rsid w:val="00583A32"/>
    <w:rsid w:val="0058515D"/>
    <w:rsid w:val="00586C40"/>
    <w:rsid w:val="00590D9A"/>
    <w:rsid w:val="0059170D"/>
    <w:rsid w:val="005A1B4D"/>
    <w:rsid w:val="005A7BD0"/>
    <w:rsid w:val="005A7EE0"/>
    <w:rsid w:val="005A7F77"/>
    <w:rsid w:val="005B3C57"/>
    <w:rsid w:val="005B47BC"/>
    <w:rsid w:val="005B51CC"/>
    <w:rsid w:val="005C0AAE"/>
    <w:rsid w:val="005C26C9"/>
    <w:rsid w:val="005C4519"/>
    <w:rsid w:val="005C47B5"/>
    <w:rsid w:val="005C6AB8"/>
    <w:rsid w:val="005C72BD"/>
    <w:rsid w:val="005D52DA"/>
    <w:rsid w:val="005E0FF6"/>
    <w:rsid w:val="005E33A2"/>
    <w:rsid w:val="005E5368"/>
    <w:rsid w:val="005E581F"/>
    <w:rsid w:val="005E5C66"/>
    <w:rsid w:val="005E6F9E"/>
    <w:rsid w:val="005E768F"/>
    <w:rsid w:val="005F078C"/>
    <w:rsid w:val="005F12BD"/>
    <w:rsid w:val="005F33AD"/>
    <w:rsid w:val="005F6154"/>
    <w:rsid w:val="006036EB"/>
    <w:rsid w:val="00605CD4"/>
    <w:rsid w:val="00611BB5"/>
    <w:rsid w:val="006121B4"/>
    <w:rsid w:val="00613DA9"/>
    <w:rsid w:val="00615FA4"/>
    <w:rsid w:val="00621618"/>
    <w:rsid w:val="00631160"/>
    <w:rsid w:val="00634F0B"/>
    <w:rsid w:val="006357E7"/>
    <w:rsid w:val="00644B63"/>
    <w:rsid w:val="006456C3"/>
    <w:rsid w:val="00645EA3"/>
    <w:rsid w:val="006464B2"/>
    <w:rsid w:val="00647120"/>
    <w:rsid w:val="0064796D"/>
    <w:rsid w:val="00650936"/>
    <w:rsid w:val="00650E98"/>
    <w:rsid w:val="00651BC9"/>
    <w:rsid w:val="00660BBD"/>
    <w:rsid w:val="00662290"/>
    <w:rsid w:val="00663A6E"/>
    <w:rsid w:val="006645D1"/>
    <w:rsid w:val="00665B14"/>
    <w:rsid w:val="00665C77"/>
    <w:rsid w:val="00672130"/>
    <w:rsid w:val="00675F44"/>
    <w:rsid w:val="006857DF"/>
    <w:rsid w:val="00686AA3"/>
    <w:rsid w:val="00687EA7"/>
    <w:rsid w:val="00692ABF"/>
    <w:rsid w:val="00695289"/>
    <w:rsid w:val="006A30E2"/>
    <w:rsid w:val="006A3A6D"/>
    <w:rsid w:val="006A6003"/>
    <w:rsid w:val="006A6D24"/>
    <w:rsid w:val="006B012D"/>
    <w:rsid w:val="006B209A"/>
    <w:rsid w:val="006B2D82"/>
    <w:rsid w:val="006B3B15"/>
    <w:rsid w:val="006B3ECC"/>
    <w:rsid w:val="006B4BB9"/>
    <w:rsid w:val="006C13E8"/>
    <w:rsid w:val="006C1C44"/>
    <w:rsid w:val="006C2D23"/>
    <w:rsid w:val="006C324A"/>
    <w:rsid w:val="006C6094"/>
    <w:rsid w:val="006C6B63"/>
    <w:rsid w:val="006D0086"/>
    <w:rsid w:val="006D124E"/>
    <w:rsid w:val="006D2730"/>
    <w:rsid w:val="006D2CB5"/>
    <w:rsid w:val="006D4909"/>
    <w:rsid w:val="006E0F49"/>
    <w:rsid w:val="006E28E0"/>
    <w:rsid w:val="006E489E"/>
    <w:rsid w:val="006E5435"/>
    <w:rsid w:val="006E6354"/>
    <w:rsid w:val="006F1B70"/>
    <w:rsid w:val="006F6FEC"/>
    <w:rsid w:val="007043D5"/>
    <w:rsid w:val="007052D4"/>
    <w:rsid w:val="00711254"/>
    <w:rsid w:val="00711A42"/>
    <w:rsid w:val="00712D2D"/>
    <w:rsid w:val="00714F8C"/>
    <w:rsid w:val="0072050D"/>
    <w:rsid w:val="00720679"/>
    <w:rsid w:val="00721948"/>
    <w:rsid w:val="00722154"/>
    <w:rsid w:val="007241DC"/>
    <w:rsid w:val="00727DBE"/>
    <w:rsid w:val="0073010C"/>
    <w:rsid w:val="00732118"/>
    <w:rsid w:val="00733BDD"/>
    <w:rsid w:val="00736A87"/>
    <w:rsid w:val="00737615"/>
    <w:rsid w:val="00737E16"/>
    <w:rsid w:val="00741D9E"/>
    <w:rsid w:val="007439D6"/>
    <w:rsid w:val="00745035"/>
    <w:rsid w:val="00745D9B"/>
    <w:rsid w:val="0074621C"/>
    <w:rsid w:val="00750E09"/>
    <w:rsid w:val="0075125D"/>
    <w:rsid w:val="0075297D"/>
    <w:rsid w:val="00753627"/>
    <w:rsid w:val="00753EFF"/>
    <w:rsid w:val="00761A3E"/>
    <w:rsid w:val="00762C7A"/>
    <w:rsid w:val="0076582E"/>
    <w:rsid w:val="00766A2C"/>
    <w:rsid w:val="00767CA5"/>
    <w:rsid w:val="00770CD5"/>
    <w:rsid w:val="00771BED"/>
    <w:rsid w:val="00773740"/>
    <w:rsid w:val="00774073"/>
    <w:rsid w:val="007740BE"/>
    <w:rsid w:val="007749A8"/>
    <w:rsid w:val="00775DCA"/>
    <w:rsid w:val="007762B8"/>
    <w:rsid w:val="00776580"/>
    <w:rsid w:val="00776B52"/>
    <w:rsid w:val="00780E86"/>
    <w:rsid w:val="00781F1E"/>
    <w:rsid w:val="007820F0"/>
    <w:rsid w:val="00784501"/>
    <w:rsid w:val="00785E10"/>
    <w:rsid w:val="00786453"/>
    <w:rsid w:val="00790C69"/>
    <w:rsid w:val="00794994"/>
    <w:rsid w:val="007950E3"/>
    <w:rsid w:val="007953BD"/>
    <w:rsid w:val="0079647C"/>
    <w:rsid w:val="00796583"/>
    <w:rsid w:val="007978AA"/>
    <w:rsid w:val="007A164D"/>
    <w:rsid w:val="007A1D23"/>
    <w:rsid w:val="007A376F"/>
    <w:rsid w:val="007A5AF6"/>
    <w:rsid w:val="007B20D8"/>
    <w:rsid w:val="007B3733"/>
    <w:rsid w:val="007B7186"/>
    <w:rsid w:val="007B799C"/>
    <w:rsid w:val="007B7EBD"/>
    <w:rsid w:val="007C0100"/>
    <w:rsid w:val="007C4855"/>
    <w:rsid w:val="007C4FED"/>
    <w:rsid w:val="007C67F6"/>
    <w:rsid w:val="007D03EB"/>
    <w:rsid w:val="007D2AB8"/>
    <w:rsid w:val="007D3E74"/>
    <w:rsid w:val="007D5F79"/>
    <w:rsid w:val="007E05A7"/>
    <w:rsid w:val="007E4E73"/>
    <w:rsid w:val="007E5AD4"/>
    <w:rsid w:val="007F0085"/>
    <w:rsid w:val="007F0D8E"/>
    <w:rsid w:val="007F10E8"/>
    <w:rsid w:val="007F17EB"/>
    <w:rsid w:val="007F1E7F"/>
    <w:rsid w:val="007F394E"/>
    <w:rsid w:val="007F3B45"/>
    <w:rsid w:val="007F70DA"/>
    <w:rsid w:val="007F7272"/>
    <w:rsid w:val="00800C79"/>
    <w:rsid w:val="00801BD0"/>
    <w:rsid w:val="00802F40"/>
    <w:rsid w:val="0080523A"/>
    <w:rsid w:val="00814B3E"/>
    <w:rsid w:val="0082473B"/>
    <w:rsid w:val="00825FE4"/>
    <w:rsid w:val="00826410"/>
    <w:rsid w:val="008301EC"/>
    <w:rsid w:val="00832663"/>
    <w:rsid w:val="00835BD7"/>
    <w:rsid w:val="008406F7"/>
    <w:rsid w:val="00841273"/>
    <w:rsid w:val="00844FD6"/>
    <w:rsid w:val="00852B8E"/>
    <w:rsid w:val="008558BC"/>
    <w:rsid w:val="00855FF4"/>
    <w:rsid w:val="008616D0"/>
    <w:rsid w:val="00864005"/>
    <w:rsid w:val="0087091A"/>
    <w:rsid w:val="0087197A"/>
    <w:rsid w:val="0087206A"/>
    <w:rsid w:val="00872167"/>
    <w:rsid w:val="0087699D"/>
    <w:rsid w:val="008823C0"/>
    <w:rsid w:val="00891512"/>
    <w:rsid w:val="00891E4C"/>
    <w:rsid w:val="0089289F"/>
    <w:rsid w:val="0089592F"/>
    <w:rsid w:val="008A1F24"/>
    <w:rsid w:val="008A6508"/>
    <w:rsid w:val="008A7D2E"/>
    <w:rsid w:val="008B10A3"/>
    <w:rsid w:val="008B32CC"/>
    <w:rsid w:val="008B3458"/>
    <w:rsid w:val="008B3F8C"/>
    <w:rsid w:val="008B478A"/>
    <w:rsid w:val="008B5947"/>
    <w:rsid w:val="008B69B7"/>
    <w:rsid w:val="008B7A79"/>
    <w:rsid w:val="008C34C5"/>
    <w:rsid w:val="008C6D83"/>
    <w:rsid w:val="008C7A07"/>
    <w:rsid w:val="008D3B57"/>
    <w:rsid w:val="008D41AB"/>
    <w:rsid w:val="008D72D8"/>
    <w:rsid w:val="008E0545"/>
    <w:rsid w:val="008E09E4"/>
    <w:rsid w:val="008E2FFB"/>
    <w:rsid w:val="008E7760"/>
    <w:rsid w:val="008F077C"/>
    <w:rsid w:val="008F07D4"/>
    <w:rsid w:val="008F2F50"/>
    <w:rsid w:val="008F46AB"/>
    <w:rsid w:val="008F4F5B"/>
    <w:rsid w:val="008F7E70"/>
    <w:rsid w:val="00902BE5"/>
    <w:rsid w:val="0091106C"/>
    <w:rsid w:val="0091145A"/>
    <w:rsid w:val="00911B26"/>
    <w:rsid w:val="00913B91"/>
    <w:rsid w:val="00921321"/>
    <w:rsid w:val="0092244A"/>
    <w:rsid w:val="00922537"/>
    <w:rsid w:val="009225E4"/>
    <w:rsid w:val="0092381D"/>
    <w:rsid w:val="009244E3"/>
    <w:rsid w:val="00924E74"/>
    <w:rsid w:val="0092500F"/>
    <w:rsid w:val="0092542E"/>
    <w:rsid w:val="009268F7"/>
    <w:rsid w:val="00931007"/>
    <w:rsid w:val="009333D2"/>
    <w:rsid w:val="00933BD7"/>
    <w:rsid w:val="00934495"/>
    <w:rsid w:val="0093575B"/>
    <w:rsid w:val="009407B5"/>
    <w:rsid w:val="00941CA4"/>
    <w:rsid w:val="009432FA"/>
    <w:rsid w:val="00943519"/>
    <w:rsid w:val="0094565F"/>
    <w:rsid w:val="009456A9"/>
    <w:rsid w:val="00946B56"/>
    <w:rsid w:val="00951355"/>
    <w:rsid w:val="009527A2"/>
    <w:rsid w:val="00956351"/>
    <w:rsid w:val="00957362"/>
    <w:rsid w:val="00962461"/>
    <w:rsid w:val="00967B43"/>
    <w:rsid w:val="00970FA8"/>
    <w:rsid w:val="00972C73"/>
    <w:rsid w:val="00973E9D"/>
    <w:rsid w:val="0097433C"/>
    <w:rsid w:val="00974C85"/>
    <w:rsid w:val="00977091"/>
    <w:rsid w:val="00982FDF"/>
    <w:rsid w:val="00983505"/>
    <w:rsid w:val="009851DB"/>
    <w:rsid w:val="00986870"/>
    <w:rsid w:val="00986D0B"/>
    <w:rsid w:val="00986D37"/>
    <w:rsid w:val="00991D8E"/>
    <w:rsid w:val="00995B87"/>
    <w:rsid w:val="009A29B3"/>
    <w:rsid w:val="009A2BA3"/>
    <w:rsid w:val="009A2D8A"/>
    <w:rsid w:val="009A58C2"/>
    <w:rsid w:val="009B033D"/>
    <w:rsid w:val="009B0E07"/>
    <w:rsid w:val="009B5F47"/>
    <w:rsid w:val="009C482A"/>
    <w:rsid w:val="009C5CA6"/>
    <w:rsid w:val="009C6D5B"/>
    <w:rsid w:val="009D0F38"/>
    <w:rsid w:val="009D447A"/>
    <w:rsid w:val="009D7506"/>
    <w:rsid w:val="009E1443"/>
    <w:rsid w:val="009E2289"/>
    <w:rsid w:val="009E3656"/>
    <w:rsid w:val="009E4E79"/>
    <w:rsid w:val="009E5194"/>
    <w:rsid w:val="009E5C3E"/>
    <w:rsid w:val="009F0957"/>
    <w:rsid w:val="009F2383"/>
    <w:rsid w:val="009F56AF"/>
    <w:rsid w:val="009F6F3E"/>
    <w:rsid w:val="009F7F8F"/>
    <w:rsid w:val="00A0669A"/>
    <w:rsid w:val="00A10873"/>
    <w:rsid w:val="00A10CC1"/>
    <w:rsid w:val="00A11D1E"/>
    <w:rsid w:val="00A1510A"/>
    <w:rsid w:val="00A20A96"/>
    <w:rsid w:val="00A2311D"/>
    <w:rsid w:val="00A2399A"/>
    <w:rsid w:val="00A24C76"/>
    <w:rsid w:val="00A24DA3"/>
    <w:rsid w:val="00A258C9"/>
    <w:rsid w:val="00A26CE2"/>
    <w:rsid w:val="00A26E92"/>
    <w:rsid w:val="00A309FC"/>
    <w:rsid w:val="00A316EC"/>
    <w:rsid w:val="00A3205A"/>
    <w:rsid w:val="00A34656"/>
    <w:rsid w:val="00A3478F"/>
    <w:rsid w:val="00A362D6"/>
    <w:rsid w:val="00A36F7C"/>
    <w:rsid w:val="00A37221"/>
    <w:rsid w:val="00A415D4"/>
    <w:rsid w:val="00A420E4"/>
    <w:rsid w:val="00A46611"/>
    <w:rsid w:val="00A47B71"/>
    <w:rsid w:val="00A47B99"/>
    <w:rsid w:val="00A516D2"/>
    <w:rsid w:val="00A53A5D"/>
    <w:rsid w:val="00A56AEF"/>
    <w:rsid w:val="00A57D95"/>
    <w:rsid w:val="00A6108C"/>
    <w:rsid w:val="00A64BC8"/>
    <w:rsid w:val="00A650F7"/>
    <w:rsid w:val="00A65D35"/>
    <w:rsid w:val="00A70215"/>
    <w:rsid w:val="00A71C50"/>
    <w:rsid w:val="00A745B3"/>
    <w:rsid w:val="00A77D9B"/>
    <w:rsid w:val="00A80F93"/>
    <w:rsid w:val="00A8311F"/>
    <w:rsid w:val="00A85BD8"/>
    <w:rsid w:val="00A9512D"/>
    <w:rsid w:val="00A95D84"/>
    <w:rsid w:val="00A964CB"/>
    <w:rsid w:val="00AA094A"/>
    <w:rsid w:val="00AA3298"/>
    <w:rsid w:val="00AA3606"/>
    <w:rsid w:val="00AB0048"/>
    <w:rsid w:val="00AB052E"/>
    <w:rsid w:val="00AB592E"/>
    <w:rsid w:val="00AB7A08"/>
    <w:rsid w:val="00AC06AA"/>
    <w:rsid w:val="00AC2124"/>
    <w:rsid w:val="00AC2446"/>
    <w:rsid w:val="00AC25E0"/>
    <w:rsid w:val="00AC2712"/>
    <w:rsid w:val="00AC2AB6"/>
    <w:rsid w:val="00AC4713"/>
    <w:rsid w:val="00AC4AE2"/>
    <w:rsid w:val="00AC7C28"/>
    <w:rsid w:val="00AD0709"/>
    <w:rsid w:val="00AD0744"/>
    <w:rsid w:val="00AE03D3"/>
    <w:rsid w:val="00AE2FC6"/>
    <w:rsid w:val="00AE6581"/>
    <w:rsid w:val="00AE6923"/>
    <w:rsid w:val="00AF06B9"/>
    <w:rsid w:val="00AF09F1"/>
    <w:rsid w:val="00AF2311"/>
    <w:rsid w:val="00AF4232"/>
    <w:rsid w:val="00B04475"/>
    <w:rsid w:val="00B04B3B"/>
    <w:rsid w:val="00B06CE3"/>
    <w:rsid w:val="00B10063"/>
    <w:rsid w:val="00B10B0E"/>
    <w:rsid w:val="00B135E9"/>
    <w:rsid w:val="00B14228"/>
    <w:rsid w:val="00B155BC"/>
    <w:rsid w:val="00B158BD"/>
    <w:rsid w:val="00B15AC8"/>
    <w:rsid w:val="00B1742D"/>
    <w:rsid w:val="00B21DC1"/>
    <w:rsid w:val="00B24F58"/>
    <w:rsid w:val="00B25660"/>
    <w:rsid w:val="00B352AD"/>
    <w:rsid w:val="00B3689F"/>
    <w:rsid w:val="00B40372"/>
    <w:rsid w:val="00B41FA0"/>
    <w:rsid w:val="00B43F3E"/>
    <w:rsid w:val="00B52C3E"/>
    <w:rsid w:val="00B553ED"/>
    <w:rsid w:val="00B56F1D"/>
    <w:rsid w:val="00B57FA0"/>
    <w:rsid w:val="00B60048"/>
    <w:rsid w:val="00B602DB"/>
    <w:rsid w:val="00B60ED2"/>
    <w:rsid w:val="00B618D8"/>
    <w:rsid w:val="00B61920"/>
    <w:rsid w:val="00B62146"/>
    <w:rsid w:val="00B63130"/>
    <w:rsid w:val="00B6702A"/>
    <w:rsid w:val="00B71574"/>
    <w:rsid w:val="00B75369"/>
    <w:rsid w:val="00B75CDD"/>
    <w:rsid w:val="00B76076"/>
    <w:rsid w:val="00B77777"/>
    <w:rsid w:val="00B8156E"/>
    <w:rsid w:val="00B8186E"/>
    <w:rsid w:val="00B83177"/>
    <w:rsid w:val="00B835D3"/>
    <w:rsid w:val="00B84794"/>
    <w:rsid w:val="00B85019"/>
    <w:rsid w:val="00B918F8"/>
    <w:rsid w:val="00B93C5E"/>
    <w:rsid w:val="00B95F83"/>
    <w:rsid w:val="00BA6B67"/>
    <w:rsid w:val="00BB12D5"/>
    <w:rsid w:val="00BB14DE"/>
    <w:rsid w:val="00BB6B33"/>
    <w:rsid w:val="00BB7862"/>
    <w:rsid w:val="00BC3A1A"/>
    <w:rsid w:val="00BD0754"/>
    <w:rsid w:val="00BD39BE"/>
    <w:rsid w:val="00BD7796"/>
    <w:rsid w:val="00BE2484"/>
    <w:rsid w:val="00BE2D0A"/>
    <w:rsid w:val="00BE626C"/>
    <w:rsid w:val="00C01F03"/>
    <w:rsid w:val="00C029F6"/>
    <w:rsid w:val="00C02EE2"/>
    <w:rsid w:val="00C03DB3"/>
    <w:rsid w:val="00C0609E"/>
    <w:rsid w:val="00C06C89"/>
    <w:rsid w:val="00C10C2A"/>
    <w:rsid w:val="00C12FB8"/>
    <w:rsid w:val="00C13CE2"/>
    <w:rsid w:val="00C13D75"/>
    <w:rsid w:val="00C14863"/>
    <w:rsid w:val="00C14B48"/>
    <w:rsid w:val="00C2315E"/>
    <w:rsid w:val="00C231A9"/>
    <w:rsid w:val="00C25461"/>
    <w:rsid w:val="00C2554D"/>
    <w:rsid w:val="00C27937"/>
    <w:rsid w:val="00C322B0"/>
    <w:rsid w:val="00C329A6"/>
    <w:rsid w:val="00C33E91"/>
    <w:rsid w:val="00C3456B"/>
    <w:rsid w:val="00C37DF9"/>
    <w:rsid w:val="00C402F9"/>
    <w:rsid w:val="00C4083D"/>
    <w:rsid w:val="00C40B18"/>
    <w:rsid w:val="00C40D06"/>
    <w:rsid w:val="00C476DB"/>
    <w:rsid w:val="00C4799E"/>
    <w:rsid w:val="00C50FB8"/>
    <w:rsid w:val="00C518BC"/>
    <w:rsid w:val="00C54380"/>
    <w:rsid w:val="00C56C97"/>
    <w:rsid w:val="00C57B8D"/>
    <w:rsid w:val="00C6030C"/>
    <w:rsid w:val="00C627DB"/>
    <w:rsid w:val="00C65411"/>
    <w:rsid w:val="00C667A1"/>
    <w:rsid w:val="00C70A90"/>
    <w:rsid w:val="00C7515B"/>
    <w:rsid w:val="00C76368"/>
    <w:rsid w:val="00C772BC"/>
    <w:rsid w:val="00C82A88"/>
    <w:rsid w:val="00C90135"/>
    <w:rsid w:val="00C913E9"/>
    <w:rsid w:val="00C94FD7"/>
    <w:rsid w:val="00CA1E47"/>
    <w:rsid w:val="00CA4076"/>
    <w:rsid w:val="00CB09B9"/>
    <w:rsid w:val="00CB4A29"/>
    <w:rsid w:val="00CB4F1C"/>
    <w:rsid w:val="00CB50D6"/>
    <w:rsid w:val="00CB593B"/>
    <w:rsid w:val="00CB6344"/>
    <w:rsid w:val="00CC1121"/>
    <w:rsid w:val="00CC1353"/>
    <w:rsid w:val="00CC1534"/>
    <w:rsid w:val="00CC23AA"/>
    <w:rsid w:val="00CD2A3E"/>
    <w:rsid w:val="00CD3F13"/>
    <w:rsid w:val="00CD67AD"/>
    <w:rsid w:val="00CE3ECA"/>
    <w:rsid w:val="00CE421C"/>
    <w:rsid w:val="00CE6A42"/>
    <w:rsid w:val="00CF16F4"/>
    <w:rsid w:val="00CF4C20"/>
    <w:rsid w:val="00D01412"/>
    <w:rsid w:val="00D03F7D"/>
    <w:rsid w:val="00D04A12"/>
    <w:rsid w:val="00D0560E"/>
    <w:rsid w:val="00D077E7"/>
    <w:rsid w:val="00D103E6"/>
    <w:rsid w:val="00D11EFE"/>
    <w:rsid w:val="00D14D8B"/>
    <w:rsid w:val="00D2088A"/>
    <w:rsid w:val="00D21EE5"/>
    <w:rsid w:val="00D2220E"/>
    <w:rsid w:val="00D23B00"/>
    <w:rsid w:val="00D24DAF"/>
    <w:rsid w:val="00D2669A"/>
    <w:rsid w:val="00D27CD3"/>
    <w:rsid w:val="00D30247"/>
    <w:rsid w:val="00D31939"/>
    <w:rsid w:val="00D32363"/>
    <w:rsid w:val="00D35878"/>
    <w:rsid w:val="00D35F9F"/>
    <w:rsid w:val="00D36463"/>
    <w:rsid w:val="00D43502"/>
    <w:rsid w:val="00D45B4A"/>
    <w:rsid w:val="00D47547"/>
    <w:rsid w:val="00D47D7B"/>
    <w:rsid w:val="00D5299C"/>
    <w:rsid w:val="00D5430A"/>
    <w:rsid w:val="00D547C1"/>
    <w:rsid w:val="00D57956"/>
    <w:rsid w:val="00D62474"/>
    <w:rsid w:val="00D65721"/>
    <w:rsid w:val="00D659EB"/>
    <w:rsid w:val="00D66717"/>
    <w:rsid w:val="00D717AF"/>
    <w:rsid w:val="00D71C70"/>
    <w:rsid w:val="00D726A4"/>
    <w:rsid w:val="00D72B48"/>
    <w:rsid w:val="00D744EA"/>
    <w:rsid w:val="00D74721"/>
    <w:rsid w:val="00D74AB8"/>
    <w:rsid w:val="00D75BB2"/>
    <w:rsid w:val="00D773FB"/>
    <w:rsid w:val="00D8580B"/>
    <w:rsid w:val="00D85B28"/>
    <w:rsid w:val="00D9027B"/>
    <w:rsid w:val="00D92942"/>
    <w:rsid w:val="00D94711"/>
    <w:rsid w:val="00D96F01"/>
    <w:rsid w:val="00D9758C"/>
    <w:rsid w:val="00DA11FD"/>
    <w:rsid w:val="00DA4A2A"/>
    <w:rsid w:val="00DA4EAA"/>
    <w:rsid w:val="00DA6467"/>
    <w:rsid w:val="00DB13BF"/>
    <w:rsid w:val="00DB2C71"/>
    <w:rsid w:val="00DB3766"/>
    <w:rsid w:val="00DB388C"/>
    <w:rsid w:val="00DB611D"/>
    <w:rsid w:val="00DC16D3"/>
    <w:rsid w:val="00DC24DA"/>
    <w:rsid w:val="00DC4EEC"/>
    <w:rsid w:val="00DD2F63"/>
    <w:rsid w:val="00DD4852"/>
    <w:rsid w:val="00DD6292"/>
    <w:rsid w:val="00DE0668"/>
    <w:rsid w:val="00DE3D03"/>
    <w:rsid w:val="00DE7985"/>
    <w:rsid w:val="00DF0EEE"/>
    <w:rsid w:val="00DF43E3"/>
    <w:rsid w:val="00DF7B14"/>
    <w:rsid w:val="00DF7BC0"/>
    <w:rsid w:val="00DF7C31"/>
    <w:rsid w:val="00E00F73"/>
    <w:rsid w:val="00E05315"/>
    <w:rsid w:val="00E112C0"/>
    <w:rsid w:val="00E17D7E"/>
    <w:rsid w:val="00E203E4"/>
    <w:rsid w:val="00E21073"/>
    <w:rsid w:val="00E23ABF"/>
    <w:rsid w:val="00E23C48"/>
    <w:rsid w:val="00E27170"/>
    <w:rsid w:val="00E271C4"/>
    <w:rsid w:val="00E2757A"/>
    <w:rsid w:val="00E325AE"/>
    <w:rsid w:val="00E340E9"/>
    <w:rsid w:val="00E35438"/>
    <w:rsid w:val="00E35A09"/>
    <w:rsid w:val="00E35FC4"/>
    <w:rsid w:val="00E40C2A"/>
    <w:rsid w:val="00E43498"/>
    <w:rsid w:val="00E502C8"/>
    <w:rsid w:val="00E50598"/>
    <w:rsid w:val="00E509BB"/>
    <w:rsid w:val="00E5129B"/>
    <w:rsid w:val="00E52B99"/>
    <w:rsid w:val="00E53137"/>
    <w:rsid w:val="00E547B0"/>
    <w:rsid w:val="00E60383"/>
    <w:rsid w:val="00E624A6"/>
    <w:rsid w:val="00E63374"/>
    <w:rsid w:val="00E63D01"/>
    <w:rsid w:val="00E65DA2"/>
    <w:rsid w:val="00E66429"/>
    <w:rsid w:val="00E73425"/>
    <w:rsid w:val="00E7759C"/>
    <w:rsid w:val="00E80592"/>
    <w:rsid w:val="00E828CB"/>
    <w:rsid w:val="00E83719"/>
    <w:rsid w:val="00E84A82"/>
    <w:rsid w:val="00E90212"/>
    <w:rsid w:val="00E916D5"/>
    <w:rsid w:val="00E925D8"/>
    <w:rsid w:val="00E97161"/>
    <w:rsid w:val="00EA0155"/>
    <w:rsid w:val="00EA01A4"/>
    <w:rsid w:val="00EA0427"/>
    <w:rsid w:val="00EA1FA9"/>
    <w:rsid w:val="00EA2681"/>
    <w:rsid w:val="00EA2A1B"/>
    <w:rsid w:val="00EA572C"/>
    <w:rsid w:val="00EA5E2B"/>
    <w:rsid w:val="00EA5F22"/>
    <w:rsid w:val="00EA766A"/>
    <w:rsid w:val="00EA7755"/>
    <w:rsid w:val="00EA7886"/>
    <w:rsid w:val="00EB140B"/>
    <w:rsid w:val="00EB37DF"/>
    <w:rsid w:val="00EB3D98"/>
    <w:rsid w:val="00EB47A2"/>
    <w:rsid w:val="00EB6C0B"/>
    <w:rsid w:val="00EB703B"/>
    <w:rsid w:val="00EC4087"/>
    <w:rsid w:val="00EC4645"/>
    <w:rsid w:val="00EC5185"/>
    <w:rsid w:val="00ED1B91"/>
    <w:rsid w:val="00ED2790"/>
    <w:rsid w:val="00ED3CCB"/>
    <w:rsid w:val="00ED4223"/>
    <w:rsid w:val="00ED4811"/>
    <w:rsid w:val="00ED4C25"/>
    <w:rsid w:val="00EE22D0"/>
    <w:rsid w:val="00EE2538"/>
    <w:rsid w:val="00EE34C1"/>
    <w:rsid w:val="00EE4D30"/>
    <w:rsid w:val="00EE5DC3"/>
    <w:rsid w:val="00EF0425"/>
    <w:rsid w:val="00EF172C"/>
    <w:rsid w:val="00EF256A"/>
    <w:rsid w:val="00EF43B7"/>
    <w:rsid w:val="00F01B1B"/>
    <w:rsid w:val="00F03796"/>
    <w:rsid w:val="00F03C2D"/>
    <w:rsid w:val="00F0670D"/>
    <w:rsid w:val="00F1342A"/>
    <w:rsid w:val="00F13FFC"/>
    <w:rsid w:val="00F14540"/>
    <w:rsid w:val="00F1707C"/>
    <w:rsid w:val="00F255DF"/>
    <w:rsid w:val="00F25DCC"/>
    <w:rsid w:val="00F272C2"/>
    <w:rsid w:val="00F3401F"/>
    <w:rsid w:val="00F3624E"/>
    <w:rsid w:val="00F365F0"/>
    <w:rsid w:val="00F37893"/>
    <w:rsid w:val="00F42C44"/>
    <w:rsid w:val="00F42EED"/>
    <w:rsid w:val="00F43E62"/>
    <w:rsid w:val="00F443D0"/>
    <w:rsid w:val="00F478BA"/>
    <w:rsid w:val="00F503D9"/>
    <w:rsid w:val="00F523F0"/>
    <w:rsid w:val="00F53F3B"/>
    <w:rsid w:val="00F54C6F"/>
    <w:rsid w:val="00F57E9A"/>
    <w:rsid w:val="00F6019F"/>
    <w:rsid w:val="00F61E39"/>
    <w:rsid w:val="00F64E02"/>
    <w:rsid w:val="00F7046E"/>
    <w:rsid w:val="00F707F5"/>
    <w:rsid w:val="00F7264B"/>
    <w:rsid w:val="00F73EA2"/>
    <w:rsid w:val="00F767DB"/>
    <w:rsid w:val="00F76DE9"/>
    <w:rsid w:val="00F7700B"/>
    <w:rsid w:val="00F81AAA"/>
    <w:rsid w:val="00F82503"/>
    <w:rsid w:val="00F83264"/>
    <w:rsid w:val="00F85124"/>
    <w:rsid w:val="00F869B5"/>
    <w:rsid w:val="00F91BED"/>
    <w:rsid w:val="00F928AF"/>
    <w:rsid w:val="00F949FC"/>
    <w:rsid w:val="00F94AFA"/>
    <w:rsid w:val="00F96FB8"/>
    <w:rsid w:val="00F97871"/>
    <w:rsid w:val="00F979D0"/>
    <w:rsid w:val="00FA0A84"/>
    <w:rsid w:val="00FA77B7"/>
    <w:rsid w:val="00FB2531"/>
    <w:rsid w:val="00FB4F28"/>
    <w:rsid w:val="00FB7333"/>
    <w:rsid w:val="00FC212E"/>
    <w:rsid w:val="00FC432E"/>
    <w:rsid w:val="00FC73F3"/>
    <w:rsid w:val="00FD4A82"/>
    <w:rsid w:val="00FD5B72"/>
    <w:rsid w:val="00FD778F"/>
    <w:rsid w:val="00FE1204"/>
    <w:rsid w:val="00FE166B"/>
    <w:rsid w:val="00FE1FF8"/>
    <w:rsid w:val="00FE4A3D"/>
    <w:rsid w:val="00FE5A5A"/>
    <w:rsid w:val="00FE6CCE"/>
    <w:rsid w:val="00FF08EC"/>
    <w:rsid w:val="00FF10BB"/>
    <w:rsid w:val="00FF252B"/>
    <w:rsid w:val="00FF2A32"/>
    <w:rsid w:val="00FF4297"/>
    <w:rsid w:val="00FF4779"/>
    <w:rsid w:val="00FF7D87"/>
    <w:rsid w:val="0380F5C4"/>
    <w:rsid w:val="06A81948"/>
    <w:rsid w:val="070D6272"/>
    <w:rsid w:val="0A7D51A8"/>
    <w:rsid w:val="0B2BF6F6"/>
    <w:rsid w:val="0B6F21E0"/>
    <w:rsid w:val="0C123560"/>
    <w:rsid w:val="10433018"/>
    <w:rsid w:val="109E63A6"/>
    <w:rsid w:val="14EE1AA3"/>
    <w:rsid w:val="1569ABD3"/>
    <w:rsid w:val="1709D3C8"/>
    <w:rsid w:val="18F2B4EC"/>
    <w:rsid w:val="1DC23C5C"/>
    <w:rsid w:val="1E2F5B2E"/>
    <w:rsid w:val="20376BAD"/>
    <w:rsid w:val="27BC95C2"/>
    <w:rsid w:val="2B0610D4"/>
    <w:rsid w:val="2C793352"/>
    <w:rsid w:val="2D04009D"/>
    <w:rsid w:val="2D671396"/>
    <w:rsid w:val="2E4A02EF"/>
    <w:rsid w:val="2FA034E7"/>
    <w:rsid w:val="31CE7FC2"/>
    <w:rsid w:val="38A3A301"/>
    <w:rsid w:val="3A5C47C9"/>
    <w:rsid w:val="3BC1044F"/>
    <w:rsid w:val="3CB92D44"/>
    <w:rsid w:val="3CDCCA2C"/>
    <w:rsid w:val="3F1C583D"/>
    <w:rsid w:val="3FCDEEBE"/>
    <w:rsid w:val="42F4B15A"/>
    <w:rsid w:val="439937C5"/>
    <w:rsid w:val="44F97B1E"/>
    <w:rsid w:val="451B571F"/>
    <w:rsid w:val="4C18DE07"/>
    <w:rsid w:val="5081A041"/>
    <w:rsid w:val="50DE087E"/>
    <w:rsid w:val="5108477D"/>
    <w:rsid w:val="5175B894"/>
    <w:rsid w:val="54151E9C"/>
    <w:rsid w:val="55A84AC6"/>
    <w:rsid w:val="56CFBC89"/>
    <w:rsid w:val="56E9D2E0"/>
    <w:rsid w:val="576C3C84"/>
    <w:rsid w:val="59518DB5"/>
    <w:rsid w:val="59C6BF92"/>
    <w:rsid w:val="5D22EA78"/>
    <w:rsid w:val="5F1E3C9D"/>
    <w:rsid w:val="64F22108"/>
    <w:rsid w:val="66E4985B"/>
    <w:rsid w:val="67294E82"/>
    <w:rsid w:val="67D94976"/>
    <w:rsid w:val="681CD09C"/>
    <w:rsid w:val="6830612A"/>
    <w:rsid w:val="6918297B"/>
    <w:rsid w:val="6CACBA99"/>
    <w:rsid w:val="6EFF9F47"/>
    <w:rsid w:val="6F7CA10B"/>
    <w:rsid w:val="7063DBA0"/>
    <w:rsid w:val="741D202C"/>
    <w:rsid w:val="767617F9"/>
    <w:rsid w:val="7793790B"/>
    <w:rsid w:val="780E322E"/>
    <w:rsid w:val="7A7EF627"/>
    <w:rsid w:val="7C14586F"/>
    <w:rsid w:val="7C217865"/>
    <w:rsid w:val="7DB6A156"/>
    <w:rsid w:val="7E4BE16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ABC997"/>
  <w15:docId w15:val="{46D5B3E7-2E1A-4BE5-A201-637AD68D5E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0A7F"/>
    <w:pPr>
      <w:jc w:val="both"/>
    </w:pPr>
    <w:rPr>
      <w:rFonts w:ascii="Helvetica" w:hAnsi="Helvetica"/>
      <w:lang w:val="en-US"/>
    </w:rPr>
  </w:style>
  <w:style w:type="paragraph" w:styleId="Heading1">
    <w:name w:val="heading 1"/>
    <w:basedOn w:val="Normal"/>
    <w:next w:val="Normal"/>
    <w:link w:val="Heading1Char"/>
    <w:uiPriority w:val="9"/>
    <w:qFormat/>
    <w:rsid w:val="002F4355"/>
    <w:pPr>
      <w:keepNext/>
      <w:keepLines/>
      <w:tabs>
        <w:tab w:val="left" w:pos="567"/>
      </w:tabs>
      <w:spacing w:before="600" w:after="400"/>
      <w:outlineLvl w:val="0"/>
    </w:pPr>
    <w:rPr>
      <w:rFonts w:ascii="Helvetica 45 Light" w:eastAsiaTheme="majorEastAsia" w:hAnsi="Helvetica 45 Light" w:cstheme="majorBidi"/>
      <w:caps/>
      <w:color w:val="FF0000"/>
      <w:sz w:val="32"/>
      <w:szCs w:val="32"/>
    </w:rPr>
  </w:style>
  <w:style w:type="paragraph" w:styleId="Heading2">
    <w:name w:val="heading 2"/>
    <w:basedOn w:val="Heading1"/>
    <w:next w:val="Normal"/>
    <w:link w:val="Heading2Char"/>
    <w:uiPriority w:val="9"/>
    <w:unhideWhenUsed/>
    <w:qFormat/>
    <w:rsid w:val="0007253E"/>
    <w:pPr>
      <w:tabs>
        <w:tab w:val="left" w:pos="1134"/>
      </w:tabs>
      <w:spacing w:before="200" w:after="200"/>
      <w:outlineLvl w:val="1"/>
    </w:pPr>
    <w:rPr>
      <w:color w:val="3B3838" w:themeColor="background2" w:themeShade="40"/>
      <w:sz w:val="28"/>
      <w:szCs w:val="26"/>
    </w:rPr>
  </w:style>
  <w:style w:type="paragraph" w:styleId="Heading3">
    <w:name w:val="heading 3"/>
    <w:basedOn w:val="Heading4"/>
    <w:next w:val="Normal"/>
    <w:link w:val="Heading3Char"/>
    <w:uiPriority w:val="9"/>
    <w:unhideWhenUsed/>
    <w:qFormat/>
    <w:rsid w:val="00A745B3"/>
    <w:pPr>
      <w:outlineLvl w:val="2"/>
    </w:pPr>
  </w:style>
  <w:style w:type="paragraph" w:styleId="Heading4">
    <w:name w:val="heading 4"/>
    <w:basedOn w:val="Heading2"/>
    <w:next w:val="Normal"/>
    <w:link w:val="Heading4Char"/>
    <w:uiPriority w:val="9"/>
    <w:unhideWhenUsed/>
    <w:qFormat/>
    <w:rsid w:val="00CC1121"/>
    <w:pPr>
      <w:outlineLvl w:val="3"/>
    </w:pPr>
    <w:rPr>
      <w:iCs/>
      <w:caps w:val="0"/>
    </w:rPr>
  </w:style>
  <w:style w:type="paragraph" w:styleId="Heading5">
    <w:name w:val="heading 5"/>
    <w:basedOn w:val="Heading2"/>
    <w:next w:val="Normal"/>
    <w:link w:val="Heading5Char"/>
    <w:uiPriority w:val="9"/>
    <w:unhideWhenUsed/>
    <w:qFormat/>
    <w:rsid w:val="00F43E62"/>
    <w:pPr>
      <w:spacing w:before="0" w:after="0"/>
      <w:outlineLvl w:val="4"/>
    </w:pPr>
    <w:rPr>
      <w:smallCaps/>
      <w:color w:val="7F7F7F" w:themeColor="text1" w:themeTint="80"/>
    </w:rPr>
  </w:style>
  <w:style w:type="paragraph" w:styleId="Heading6">
    <w:name w:val="heading 6"/>
    <w:basedOn w:val="Normal"/>
    <w:next w:val="Normal"/>
    <w:link w:val="Heading6Char"/>
    <w:uiPriority w:val="9"/>
    <w:semiHidden/>
    <w:unhideWhenUsed/>
    <w:qFormat/>
    <w:rsid w:val="00E53137"/>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C4799E"/>
    <w:pPr>
      <w:spacing w:after="0" w:line="240" w:lineRule="auto"/>
    </w:pPr>
    <w:rPr>
      <w:rFonts w:ascii="Helvetica" w:hAnsi="Helvetica"/>
      <w:lang w:val="en-US"/>
    </w:rPr>
  </w:style>
  <w:style w:type="character" w:customStyle="1" w:styleId="Heading1Char">
    <w:name w:val="Heading 1 Char"/>
    <w:basedOn w:val="DefaultParagraphFont"/>
    <w:link w:val="Heading1"/>
    <w:uiPriority w:val="9"/>
    <w:rsid w:val="002F4355"/>
    <w:rPr>
      <w:rFonts w:ascii="Helvetica 45 Light" w:eastAsiaTheme="majorEastAsia" w:hAnsi="Helvetica 45 Light" w:cstheme="majorBidi"/>
      <w:caps/>
      <w:color w:val="FF0000"/>
      <w:sz w:val="32"/>
      <w:szCs w:val="32"/>
      <w:lang w:val="en-US"/>
    </w:rPr>
  </w:style>
  <w:style w:type="character" w:customStyle="1" w:styleId="Heading2Char">
    <w:name w:val="Heading 2 Char"/>
    <w:basedOn w:val="DefaultParagraphFont"/>
    <w:link w:val="Heading2"/>
    <w:uiPriority w:val="9"/>
    <w:rsid w:val="0007253E"/>
    <w:rPr>
      <w:rFonts w:ascii="Helvetica 45 Light" w:eastAsiaTheme="majorEastAsia" w:hAnsi="Helvetica 45 Light" w:cstheme="majorBidi"/>
      <w:caps/>
      <w:color w:val="3B3838" w:themeColor="background2" w:themeShade="40"/>
      <w:sz w:val="28"/>
      <w:szCs w:val="26"/>
      <w:lang w:val="en-US"/>
    </w:rPr>
  </w:style>
  <w:style w:type="paragraph" w:styleId="Title">
    <w:name w:val="Title"/>
    <w:basedOn w:val="Normal"/>
    <w:next w:val="Normal"/>
    <w:link w:val="TitleChar"/>
    <w:uiPriority w:val="10"/>
    <w:qFormat/>
    <w:rsid w:val="00D47D7B"/>
    <w:pPr>
      <w:spacing w:before="800" w:after="200" w:line="240" w:lineRule="auto"/>
      <w:contextualSpacing/>
    </w:pPr>
    <w:rPr>
      <w:rFonts w:ascii="Helvetica 45 Light" w:eastAsiaTheme="majorEastAsia" w:hAnsi="Helvetica 45 Light" w:cstheme="majorBidi"/>
      <w:spacing w:val="-10"/>
      <w:kern w:val="28"/>
      <w:sz w:val="56"/>
      <w:szCs w:val="56"/>
    </w:rPr>
  </w:style>
  <w:style w:type="character" w:customStyle="1" w:styleId="TitleChar">
    <w:name w:val="Title Char"/>
    <w:basedOn w:val="DefaultParagraphFont"/>
    <w:link w:val="Title"/>
    <w:uiPriority w:val="10"/>
    <w:rsid w:val="00D47D7B"/>
    <w:rPr>
      <w:rFonts w:ascii="Helvetica 45 Light" w:eastAsiaTheme="majorEastAsia" w:hAnsi="Helvetica 45 Light" w:cstheme="majorBidi"/>
      <w:spacing w:val="-10"/>
      <w:kern w:val="28"/>
      <w:sz w:val="56"/>
      <w:szCs w:val="56"/>
      <w:lang w:val="en-US"/>
    </w:rPr>
  </w:style>
  <w:style w:type="paragraph" w:styleId="Subtitle">
    <w:name w:val="Subtitle"/>
    <w:basedOn w:val="Normal"/>
    <w:next w:val="Normal"/>
    <w:link w:val="SubtitleChar"/>
    <w:uiPriority w:val="11"/>
    <w:qFormat/>
    <w:rsid w:val="00D47D7B"/>
    <w:pPr>
      <w:numPr>
        <w:ilvl w:val="1"/>
      </w:numPr>
      <w:spacing w:before="600" w:after="2000" w:line="360" w:lineRule="auto"/>
      <w:contextualSpacing/>
    </w:pPr>
    <w:rPr>
      <w:rFonts w:ascii="Helvetica 45 Light" w:eastAsiaTheme="minorEastAsia" w:hAnsi="Helvetica 45 Light"/>
      <w:color w:val="A6A6A6" w:themeColor="background1" w:themeShade="A6"/>
      <w:spacing w:val="15"/>
    </w:rPr>
  </w:style>
  <w:style w:type="character" w:customStyle="1" w:styleId="SubtitleChar">
    <w:name w:val="Subtitle Char"/>
    <w:basedOn w:val="DefaultParagraphFont"/>
    <w:link w:val="Subtitle"/>
    <w:uiPriority w:val="11"/>
    <w:rsid w:val="00D47D7B"/>
    <w:rPr>
      <w:rFonts w:ascii="Helvetica 45 Light" w:eastAsiaTheme="minorEastAsia" w:hAnsi="Helvetica 45 Light"/>
      <w:color w:val="A6A6A6" w:themeColor="background1" w:themeShade="A6"/>
      <w:spacing w:val="15"/>
      <w:sz w:val="24"/>
      <w:lang w:val="en-US"/>
    </w:rPr>
  </w:style>
  <w:style w:type="paragraph" w:styleId="Header">
    <w:name w:val="header"/>
    <w:basedOn w:val="Normal"/>
    <w:link w:val="HeaderChar"/>
    <w:uiPriority w:val="99"/>
    <w:unhideWhenUsed/>
    <w:rsid w:val="00E84A82"/>
    <w:pPr>
      <w:tabs>
        <w:tab w:val="center" w:pos="4513"/>
        <w:tab w:val="right" w:pos="9026"/>
      </w:tabs>
      <w:spacing w:after="0" w:line="240" w:lineRule="auto"/>
    </w:pPr>
  </w:style>
  <w:style w:type="character" w:customStyle="1" w:styleId="HeaderChar">
    <w:name w:val="Header Char"/>
    <w:basedOn w:val="DefaultParagraphFont"/>
    <w:link w:val="Header"/>
    <w:uiPriority w:val="99"/>
    <w:rsid w:val="00E84A82"/>
    <w:rPr>
      <w:rFonts w:ascii="Helvetica" w:hAnsi="Helvetica"/>
      <w:lang w:val="en-US"/>
    </w:rPr>
  </w:style>
  <w:style w:type="paragraph" w:styleId="Footer">
    <w:name w:val="footer"/>
    <w:basedOn w:val="Normal"/>
    <w:link w:val="FooterChar"/>
    <w:uiPriority w:val="99"/>
    <w:unhideWhenUsed/>
    <w:rsid w:val="00E84A82"/>
    <w:pPr>
      <w:tabs>
        <w:tab w:val="center" w:pos="4513"/>
        <w:tab w:val="right" w:pos="9026"/>
      </w:tabs>
      <w:spacing w:after="0" w:line="240" w:lineRule="auto"/>
    </w:pPr>
  </w:style>
  <w:style w:type="character" w:customStyle="1" w:styleId="FooterChar">
    <w:name w:val="Footer Char"/>
    <w:basedOn w:val="DefaultParagraphFont"/>
    <w:link w:val="Footer"/>
    <w:uiPriority w:val="99"/>
    <w:rsid w:val="00E84A82"/>
    <w:rPr>
      <w:rFonts w:ascii="Helvetica" w:hAnsi="Helvetica"/>
      <w:lang w:val="en-US"/>
    </w:rPr>
  </w:style>
  <w:style w:type="paragraph" w:styleId="ListParagraph">
    <w:name w:val="List Paragraph"/>
    <w:basedOn w:val="Normal"/>
    <w:uiPriority w:val="34"/>
    <w:qFormat/>
    <w:rsid w:val="004C6220"/>
    <w:pPr>
      <w:ind w:left="720"/>
      <w:contextualSpacing/>
    </w:pPr>
  </w:style>
  <w:style w:type="paragraph" w:styleId="TOCHeading">
    <w:name w:val="TOC Heading"/>
    <w:basedOn w:val="Heading1"/>
    <w:next w:val="Normal"/>
    <w:uiPriority w:val="39"/>
    <w:unhideWhenUsed/>
    <w:qFormat/>
    <w:rsid w:val="003516EA"/>
    <w:pPr>
      <w:tabs>
        <w:tab w:val="clear" w:pos="567"/>
      </w:tabs>
      <w:spacing w:after="240"/>
      <w:outlineLvl w:val="9"/>
    </w:pPr>
  </w:style>
  <w:style w:type="paragraph" w:styleId="TOC1">
    <w:name w:val="toc 1"/>
    <w:basedOn w:val="Normal"/>
    <w:next w:val="Normal"/>
    <w:autoRedefine/>
    <w:uiPriority w:val="39"/>
    <w:unhideWhenUsed/>
    <w:rsid w:val="00605CD4"/>
    <w:pPr>
      <w:spacing w:before="120" w:after="120"/>
    </w:pPr>
    <w:rPr>
      <w:rFonts w:asciiTheme="minorHAnsi" w:hAnsiTheme="minorHAnsi" w:cstheme="minorHAnsi"/>
      <w:b/>
      <w:bCs/>
      <w:caps/>
      <w:sz w:val="20"/>
      <w:szCs w:val="20"/>
    </w:rPr>
  </w:style>
  <w:style w:type="paragraph" w:styleId="TOC2">
    <w:name w:val="toc 2"/>
    <w:basedOn w:val="Normal"/>
    <w:next w:val="Normal"/>
    <w:autoRedefine/>
    <w:uiPriority w:val="39"/>
    <w:unhideWhenUsed/>
    <w:rsid w:val="00360F1D"/>
    <w:pPr>
      <w:spacing w:after="0"/>
      <w:ind w:left="220"/>
    </w:pPr>
    <w:rPr>
      <w:rFonts w:asciiTheme="minorHAnsi" w:hAnsiTheme="minorHAnsi" w:cstheme="minorHAnsi"/>
      <w:smallCaps/>
      <w:sz w:val="20"/>
      <w:szCs w:val="20"/>
    </w:rPr>
  </w:style>
  <w:style w:type="character" w:styleId="Hyperlink">
    <w:name w:val="Hyperlink"/>
    <w:basedOn w:val="DefaultParagraphFont"/>
    <w:uiPriority w:val="99"/>
    <w:unhideWhenUsed/>
    <w:rsid w:val="003516EA"/>
    <w:rPr>
      <w:color w:val="0563C1" w:themeColor="hyperlink"/>
      <w:u w:val="single"/>
    </w:rPr>
  </w:style>
  <w:style w:type="character" w:styleId="SubtleEmphasis">
    <w:name w:val="Subtle Emphasis"/>
    <w:basedOn w:val="DefaultParagraphFont"/>
    <w:uiPriority w:val="19"/>
    <w:qFormat/>
    <w:rsid w:val="00B76076"/>
    <w:rPr>
      <w:i/>
      <w:iCs/>
      <w:color w:val="7F7F7F" w:themeColor="text1" w:themeTint="80"/>
      <w:u w:val="single"/>
    </w:rPr>
  </w:style>
  <w:style w:type="character" w:customStyle="1" w:styleId="Heading3Char">
    <w:name w:val="Heading 3 Char"/>
    <w:basedOn w:val="DefaultParagraphFont"/>
    <w:link w:val="Heading3"/>
    <w:uiPriority w:val="9"/>
    <w:rsid w:val="00A745B3"/>
    <w:rPr>
      <w:rFonts w:ascii="Helvetica 45 Light" w:eastAsiaTheme="majorEastAsia" w:hAnsi="Helvetica 45 Light" w:cstheme="majorBidi"/>
      <w:iCs/>
      <w:color w:val="3B3838" w:themeColor="background2" w:themeShade="40"/>
      <w:sz w:val="28"/>
      <w:szCs w:val="26"/>
      <w:lang w:val="en-US"/>
    </w:rPr>
  </w:style>
  <w:style w:type="table" w:styleId="TableGrid">
    <w:name w:val="Table Grid"/>
    <w:basedOn w:val="TableNormal"/>
    <w:uiPriority w:val="39"/>
    <w:rsid w:val="00C329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qFormat/>
    <w:rsid w:val="00C329A6"/>
    <w:pPr>
      <w:spacing w:before="120" w:after="120" w:line="240" w:lineRule="auto"/>
      <w:contextualSpacing/>
    </w:pPr>
    <w:rPr>
      <w:sz w:val="18"/>
      <w:szCs w:val="18"/>
      <w:lang w:val="en-GB"/>
    </w:rPr>
  </w:style>
  <w:style w:type="paragraph" w:styleId="TOC3">
    <w:name w:val="toc 3"/>
    <w:basedOn w:val="Normal"/>
    <w:next w:val="Normal"/>
    <w:autoRedefine/>
    <w:uiPriority w:val="39"/>
    <w:unhideWhenUsed/>
    <w:rsid w:val="004321B7"/>
    <w:pPr>
      <w:spacing w:after="0"/>
      <w:ind w:left="440"/>
    </w:pPr>
    <w:rPr>
      <w:rFonts w:asciiTheme="minorHAnsi" w:hAnsiTheme="minorHAnsi" w:cstheme="minorHAnsi"/>
      <w:i/>
      <w:iCs/>
      <w:sz w:val="20"/>
      <w:szCs w:val="20"/>
    </w:rPr>
  </w:style>
  <w:style w:type="character" w:customStyle="1" w:styleId="Heading4Char">
    <w:name w:val="Heading 4 Char"/>
    <w:basedOn w:val="DefaultParagraphFont"/>
    <w:link w:val="Heading4"/>
    <w:uiPriority w:val="9"/>
    <w:rsid w:val="00CC1121"/>
    <w:rPr>
      <w:rFonts w:ascii="Helvetica 45 Light" w:eastAsiaTheme="majorEastAsia" w:hAnsi="Helvetica 45 Light" w:cstheme="majorBidi"/>
      <w:iCs/>
      <w:color w:val="3B3838" w:themeColor="background2" w:themeShade="40"/>
      <w:sz w:val="28"/>
      <w:szCs w:val="26"/>
      <w:lang w:val="en-US"/>
    </w:rPr>
  </w:style>
  <w:style w:type="character" w:customStyle="1" w:styleId="Heading6Char">
    <w:name w:val="Heading 6 Char"/>
    <w:basedOn w:val="DefaultParagraphFont"/>
    <w:link w:val="Heading6"/>
    <w:uiPriority w:val="9"/>
    <w:semiHidden/>
    <w:rsid w:val="00E53137"/>
    <w:rPr>
      <w:rFonts w:asciiTheme="majorHAnsi" w:eastAsiaTheme="majorEastAsia" w:hAnsiTheme="majorHAnsi" w:cstheme="majorBidi"/>
      <w:color w:val="1F4D78" w:themeColor="accent1" w:themeShade="7F"/>
      <w:lang w:val="en-US"/>
    </w:rPr>
  </w:style>
  <w:style w:type="table" w:customStyle="1" w:styleId="TableGrid1">
    <w:name w:val="Table Grid1"/>
    <w:basedOn w:val="TableNormal"/>
    <w:next w:val="TableGrid"/>
    <w:uiPriority w:val="39"/>
    <w:rsid w:val="00C029F6"/>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1F0BB2"/>
    <w:rPr>
      <w:rFonts w:ascii="Helvetica" w:hAnsi="Helvetica"/>
      <w:b/>
      <w:bCs/>
    </w:rPr>
  </w:style>
  <w:style w:type="character" w:customStyle="1" w:styleId="Heading5Char">
    <w:name w:val="Heading 5 Char"/>
    <w:basedOn w:val="DefaultParagraphFont"/>
    <w:link w:val="Heading5"/>
    <w:uiPriority w:val="9"/>
    <w:rsid w:val="00F43E62"/>
    <w:rPr>
      <w:rFonts w:ascii="Helvetica 45 Light" w:eastAsiaTheme="majorEastAsia" w:hAnsi="Helvetica 45 Light" w:cstheme="majorBidi"/>
      <w:caps/>
      <w:smallCaps/>
      <w:color w:val="7F7F7F" w:themeColor="text1" w:themeTint="80"/>
      <w:sz w:val="28"/>
      <w:szCs w:val="26"/>
      <w:lang w:val="en-US"/>
    </w:rPr>
  </w:style>
  <w:style w:type="paragraph" w:customStyle="1" w:styleId="ScopeofWork">
    <w:name w:val="Scope of Work"/>
    <w:basedOn w:val="Title"/>
    <w:link w:val="ScopeofWorkChar"/>
    <w:qFormat/>
    <w:rsid w:val="0076582E"/>
    <w:pPr>
      <w:spacing w:before="0" w:after="0"/>
      <w:contextualSpacing w:val="0"/>
    </w:pPr>
    <w:rPr>
      <w:color w:val="FF0000"/>
      <w:lang w:val="en-GB"/>
    </w:rPr>
  </w:style>
  <w:style w:type="paragraph" w:styleId="NormalWeb">
    <w:name w:val="Normal (Web)"/>
    <w:basedOn w:val="Normal"/>
    <w:uiPriority w:val="99"/>
    <w:unhideWhenUsed/>
    <w:rsid w:val="00D65721"/>
    <w:pPr>
      <w:spacing w:before="100" w:beforeAutospacing="1" w:after="100" w:afterAutospacing="1" w:line="240" w:lineRule="auto"/>
    </w:pPr>
    <w:rPr>
      <w:rFonts w:ascii="Times New Roman" w:eastAsia="Times New Roman" w:hAnsi="Times New Roman" w:cs="Times New Roman"/>
      <w:szCs w:val="24"/>
      <w:lang w:val="en-GB" w:eastAsia="en-GB"/>
    </w:rPr>
  </w:style>
  <w:style w:type="character" w:customStyle="1" w:styleId="ScopeofWorkChar">
    <w:name w:val="Scope of Work Char"/>
    <w:basedOn w:val="TitleChar"/>
    <w:link w:val="ScopeofWork"/>
    <w:rsid w:val="0076582E"/>
    <w:rPr>
      <w:rFonts w:ascii="Helvetica 45 Light" w:eastAsiaTheme="majorEastAsia" w:hAnsi="Helvetica 45 Light" w:cstheme="majorBidi"/>
      <w:color w:val="FF0000"/>
      <w:spacing w:val="-10"/>
      <w:kern w:val="28"/>
      <w:sz w:val="56"/>
      <w:szCs w:val="56"/>
      <w:lang w:val="en-US"/>
    </w:rPr>
  </w:style>
  <w:style w:type="character" w:customStyle="1" w:styleId="NoSpacingChar">
    <w:name w:val="No Spacing Char"/>
    <w:basedOn w:val="DefaultParagraphFont"/>
    <w:link w:val="NoSpacing"/>
    <w:uiPriority w:val="1"/>
    <w:rsid w:val="007749A8"/>
    <w:rPr>
      <w:rFonts w:ascii="Helvetica" w:hAnsi="Helvetica"/>
      <w:lang w:val="en-US"/>
    </w:rPr>
  </w:style>
  <w:style w:type="character" w:styleId="IntenseEmphasis">
    <w:name w:val="Intense Emphasis"/>
    <w:basedOn w:val="DefaultParagraphFont"/>
    <w:uiPriority w:val="21"/>
    <w:qFormat/>
    <w:rsid w:val="0047659B"/>
    <w:rPr>
      <w:i/>
      <w:iCs/>
      <w:color w:val="5B9BD5" w:themeColor="accent1"/>
    </w:rPr>
  </w:style>
  <w:style w:type="character" w:styleId="SubtleReference">
    <w:name w:val="Subtle Reference"/>
    <w:basedOn w:val="DefaultParagraphFont"/>
    <w:uiPriority w:val="31"/>
    <w:qFormat/>
    <w:rsid w:val="0047659B"/>
    <w:rPr>
      <w:smallCaps/>
      <w:color w:val="5A5A5A" w:themeColor="text1" w:themeTint="A5"/>
    </w:rPr>
  </w:style>
  <w:style w:type="paragraph" w:styleId="BalloonText">
    <w:name w:val="Balloon Text"/>
    <w:basedOn w:val="Normal"/>
    <w:link w:val="BalloonTextChar"/>
    <w:uiPriority w:val="99"/>
    <w:semiHidden/>
    <w:unhideWhenUsed/>
    <w:rsid w:val="006A3A6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A3A6D"/>
    <w:rPr>
      <w:rFonts w:ascii="Segoe UI" w:hAnsi="Segoe UI" w:cs="Segoe UI"/>
      <w:sz w:val="18"/>
      <w:szCs w:val="18"/>
      <w:lang w:val="en-US"/>
    </w:rPr>
  </w:style>
  <w:style w:type="character" w:styleId="CommentReference">
    <w:name w:val="annotation reference"/>
    <w:basedOn w:val="DefaultParagraphFont"/>
    <w:uiPriority w:val="99"/>
    <w:semiHidden/>
    <w:unhideWhenUsed/>
    <w:rsid w:val="00117802"/>
    <w:rPr>
      <w:sz w:val="16"/>
      <w:szCs w:val="16"/>
    </w:rPr>
  </w:style>
  <w:style w:type="paragraph" w:styleId="CommentText">
    <w:name w:val="annotation text"/>
    <w:basedOn w:val="Normal"/>
    <w:link w:val="CommentTextChar"/>
    <w:uiPriority w:val="99"/>
    <w:semiHidden/>
    <w:unhideWhenUsed/>
    <w:rsid w:val="00117802"/>
    <w:pPr>
      <w:spacing w:line="240" w:lineRule="auto"/>
    </w:pPr>
    <w:rPr>
      <w:szCs w:val="20"/>
    </w:rPr>
  </w:style>
  <w:style w:type="character" w:customStyle="1" w:styleId="CommentTextChar">
    <w:name w:val="Comment Text Char"/>
    <w:basedOn w:val="DefaultParagraphFont"/>
    <w:link w:val="CommentText"/>
    <w:uiPriority w:val="99"/>
    <w:semiHidden/>
    <w:rsid w:val="00117802"/>
    <w:rPr>
      <w:rFonts w:ascii="Helvetica" w:hAnsi="Helvetica"/>
      <w:sz w:val="20"/>
      <w:szCs w:val="20"/>
      <w:lang w:val="en-US"/>
    </w:rPr>
  </w:style>
  <w:style w:type="paragraph" w:styleId="CommentSubject">
    <w:name w:val="annotation subject"/>
    <w:basedOn w:val="CommentText"/>
    <w:next w:val="CommentText"/>
    <w:link w:val="CommentSubjectChar"/>
    <w:uiPriority w:val="99"/>
    <w:semiHidden/>
    <w:unhideWhenUsed/>
    <w:rsid w:val="00117802"/>
    <w:rPr>
      <w:b/>
      <w:bCs/>
    </w:rPr>
  </w:style>
  <w:style w:type="character" w:customStyle="1" w:styleId="CommentSubjectChar">
    <w:name w:val="Comment Subject Char"/>
    <w:basedOn w:val="CommentTextChar"/>
    <w:link w:val="CommentSubject"/>
    <w:uiPriority w:val="99"/>
    <w:semiHidden/>
    <w:rsid w:val="00117802"/>
    <w:rPr>
      <w:rFonts w:ascii="Helvetica" w:hAnsi="Helvetica"/>
      <w:b/>
      <w:bCs/>
      <w:sz w:val="20"/>
      <w:szCs w:val="20"/>
      <w:lang w:val="en-US"/>
    </w:rPr>
  </w:style>
  <w:style w:type="character" w:customStyle="1" w:styleId="normaltextrun">
    <w:name w:val="normaltextrun"/>
    <w:basedOn w:val="DefaultParagraphFont"/>
    <w:rsid w:val="00117802"/>
  </w:style>
  <w:style w:type="character" w:customStyle="1" w:styleId="eop">
    <w:name w:val="eop"/>
    <w:basedOn w:val="DefaultParagraphFont"/>
    <w:rsid w:val="00117802"/>
  </w:style>
  <w:style w:type="paragraph" w:styleId="FootnoteText">
    <w:name w:val="footnote text"/>
    <w:basedOn w:val="Normal"/>
    <w:link w:val="FootnoteTextChar"/>
    <w:uiPriority w:val="99"/>
    <w:semiHidden/>
    <w:unhideWhenUsed/>
    <w:rsid w:val="00117802"/>
    <w:pPr>
      <w:spacing w:after="0" w:line="240" w:lineRule="auto"/>
    </w:pPr>
    <w:rPr>
      <w:szCs w:val="20"/>
    </w:rPr>
  </w:style>
  <w:style w:type="character" w:customStyle="1" w:styleId="FootnoteTextChar">
    <w:name w:val="Footnote Text Char"/>
    <w:basedOn w:val="DefaultParagraphFont"/>
    <w:link w:val="FootnoteText"/>
    <w:uiPriority w:val="99"/>
    <w:semiHidden/>
    <w:rsid w:val="00117802"/>
    <w:rPr>
      <w:rFonts w:ascii="Helvetica" w:hAnsi="Helvetica"/>
      <w:sz w:val="20"/>
      <w:szCs w:val="20"/>
      <w:lang w:val="en-US"/>
    </w:rPr>
  </w:style>
  <w:style w:type="character" w:styleId="FootnoteReference">
    <w:name w:val="footnote reference"/>
    <w:basedOn w:val="DefaultParagraphFont"/>
    <w:uiPriority w:val="99"/>
    <w:semiHidden/>
    <w:unhideWhenUsed/>
    <w:rsid w:val="00117802"/>
    <w:rPr>
      <w:vertAlign w:val="superscript"/>
    </w:rPr>
  </w:style>
  <w:style w:type="paragraph" w:customStyle="1" w:styleId="Footnote">
    <w:name w:val="Footnote"/>
    <w:basedOn w:val="FootnoteText"/>
    <w:link w:val="FootnoteChar"/>
    <w:qFormat/>
    <w:rsid w:val="00117802"/>
    <w:pPr>
      <w:spacing w:after="60"/>
    </w:pPr>
    <w:rPr>
      <w:color w:val="595959" w:themeColor="text1" w:themeTint="A6"/>
      <w:sz w:val="16"/>
    </w:rPr>
  </w:style>
  <w:style w:type="character" w:customStyle="1" w:styleId="FootnoteChar">
    <w:name w:val="Footnote Char"/>
    <w:basedOn w:val="FootnoteTextChar"/>
    <w:link w:val="Footnote"/>
    <w:rsid w:val="00117802"/>
    <w:rPr>
      <w:rFonts w:ascii="Helvetica" w:hAnsi="Helvetica"/>
      <w:color w:val="595959" w:themeColor="text1" w:themeTint="A6"/>
      <w:sz w:val="16"/>
      <w:szCs w:val="20"/>
      <w:lang w:val="en-US"/>
    </w:rPr>
  </w:style>
  <w:style w:type="table" w:styleId="GridTable1Light-Accent5">
    <w:name w:val="Grid Table 1 Light Accent 5"/>
    <w:basedOn w:val="TableNormal"/>
    <w:uiPriority w:val="46"/>
    <w:rsid w:val="00995B87"/>
    <w:pPr>
      <w:spacing w:after="0" w:line="240" w:lineRule="auto"/>
    </w:pPr>
    <w:rPr>
      <w:lang w:val="en-US"/>
    </w:r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Caption">
    <w:name w:val="caption"/>
    <w:basedOn w:val="Normal"/>
    <w:next w:val="Normal"/>
    <w:uiPriority w:val="35"/>
    <w:unhideWhenUsed/>
    <w:qFormat/>
    <w:rsid w:val="001C7FCB"/>
    <w:pPr>
      <w:spacing w:before="240" w:after="200" w:line="240" w:lineRule="auto"/>
      <w:jc w:val="center"/>
    </w:pPr>
    <w:rPr>
      <w:i/>
      <w:iCs/>
      <w:color w:val="3B3838" w:themeColor="background2" w:themeShade="40"/>
      <w:szCs w:val="18"/>
    </w:rPr>
  </w:style>
  <w:style w:type="character" w:styleId="FollowedHyperlink">
    <w:name w:val="FollowedHyperlink"/>
    <w:basedOn w:val="DefaultParagraphFont"/>
    <w:uiPriority w:val="99"/>
    <w:semiHidden/>
    <w:unhideWhenUsed/>
    <w:rsid w:val="0087699D"/>
    <w:rPr>
      <w:color w:val="954F72" w:themeColor="followedHyperlink"/>
      <w:u w:val="single"/>
    </w:rPr>
  </w:style>
  <w:style w:type="paragraph" w:customStyle="1" w:styleId="Scope2">
    <w:name w:val="Scope 2"/>
    <w:basedOn w:val="ScopeofWork"/>
    <w:link w:val="Scope2Char"/>
    <w:qFormat/>
    <w:rsid w:val="0076582E"/>
  </w:style>
  <w:style w:type="character" w:styleId="PlaceholderText">
    <w:name w:val="Placeholder Text"/>
    <w:basedOn w:val="DefaultParagraphFont"/>
    <w:uiPriority w:val="99"/>
    <w:semiHidden/>
    <w:rsid w:val="00E43498"/>
    <w:rPr>
      <w:color w:val="808080"/>
    </w:rPr>
  </w:style>
  <w:style w:type="character" w:customStyle="1" w:styleId="Scope2Char">
    <w:name w:val="Scope 2 Char"/>
    <w:basedOn w:val="ScopeofWorkChar"/>
    <w:link w:val="Scope2"/>
    <w:rsid w:val="0076582E"/>
    <w:rPr>
      <w:rFonts w:ascii="Helvetica 45 Light" w:eastAsiaTheme="majorEastAsia" w:hAnsi="Helvetica 45 Light" w:cstheme="majorBidi"/>
      <w:color w:val="FF0000"/>
      <w:spacing w:val="-10"/>
      <w:kern w:val="28"/>
      <w:sz w:val="56"/>
      <w:szCs w:val="56"/>
      <w:lang w:val="en-US"/>
    </w:rPr>
  </w:style>
  <w:style w:type="paragraph" w:styleId="TOC4">
    <w:name w:val="toc 4"/>
    <w:basedOn w:val="Normal"/>
    <w:next w:val="Normal"/>
    <w:autoRedefine/>
    <w:uiPriority w:val="39"/>
    <w:unhideWhenUsed/>
    <w:rsid w:val="00D36463"/>
    <w:pPr>
      <w:spacing w:after="0"/>
      <w:ind w:left="660"/>
    </w:pPr>
    <w:rPr>
      <w:rFonts w:asciiTheme="minorHAnsi" w:hAnsiTheme="minorHAnsi" w:cstheme="minorHAnsi"/>
      <w:sz w:val="18"/>
      <w:szCs w:val="18"/>
    </w:rPr>
  </w:style>
  <w:style w:type="paragraph" w:styleId="TOC5">
    <w:name w:val="toc 5"/>
    <w:basedOn w:val="Normal"/>
    <w:next w:val="Normal"/>
    <w:autoRedefine/>
    <w:uiPriority w:val="39"/>
    <w:unhideWhenUsed/>
    <w:rsid w:val="00D36463"/>
    <w:pPr>
      <w:spacing w:after="0"/>
      <w:ind w:left="880"/>
    </w:pPr>
    <w:rPr>
      <w:rFonts w:asciiTheme="minorHAnsi" w:hAnsiTheme="minorHAnsi" w:cstheme="minorHAnsi"/>
      <w:sz w:val="18"/>
      <w:szCs w:val="18"/>
    </w:rPr>
  </w:style>
  <w:style w:type="paragraph" w:styleId="TOC6">
    <w:name w:val="toc 6"/>
    <w:basedOn w:val="Normal"/>
    <w:next w:val="Normal"/>
    <w:autoRedefine/>
    <w:uiPriority w:val="39"/>
    <w:unhideWhenUsed/>
    <w:rsid w:val="00D36463"/>
    <w:pPr>
      <w:spacing w:after="0"/>
      <w:ind w:left="1100"/>
    </w:pPr>
    <w:rPr>
      <w:rFonts w:asciiTheme="minorHAnsi" w:hAnsiTheme="minorHAnsi" w:cstheme="minorHAnsi"/>
      <w:sz w:val="18"/>
      <w:szCs w:val="18"/>
    </w:rPr>
  </w:style>
  <w:style w:type="paragraph" w:styleId="TOC7">
    <w:name w:val="toc 7"/>
    <w:basedOn w:val="Normal"/>
    <w:next w:val="Normal"/>
    <w:autoRedefine/>
    <w:uiPriority w:val="39"/>
    <w:unhideWhenUsed/>
    <w:rsid w:val="00D36463"/>
    <w:pPr>
      <w:spacing w:after="0"/>
      <w:ind w:left="1320"/>
    </w:pPr>
    <w:rPr>
      <w:rFonts w:asciiTheme="minorHAnsi" w:hAnsiTheme="minorHAnsi" w:cstheme="minorHAnsi"/>
      <w:sz w:val="18"/>
      <w:szCs w:val="18"/>
    </w:rPr>
  </w:style>
  <w:style w:type="paragraph" w:styleId="TOC8">
    <w:name w:val="toc 8"/>
    <w:basedOn w:val="Normal"/>
    <w:next w:val="Normal"/>
    <w:autoRedefine/>
    <w:uiPriority w:val="39"/>
    <w:unhideWhenUsed/>
    <w:rsid w:val="00D36463"/>
    <w:pPr>
      <w:spacing w:after="0"/>
      <w:ind w:left="1540"/>
    </w:pPr>
    <w:rPr>
      <w:rFonts w:asciiTheme="minorHAnsi" w:hAnsiTheme="minorHAnsi" w:cstheme="minorHAnsi"/>
      <w:sz w:val="18"/>
      <w:szCs w:val="18"/>
    </w:rPr>
  </w:style>
  <w:style w:type="paragraph" w:styleId="TOC9">
    <w:name w:val="toc 9"/>
    <w:basedOn w:val="Normal"/>
    <w:next w:val="Normal"/>
    <w:autoRedefine/>
    <w:uiPriority w:val="39"/>
    <w:unhideWhenUsed/>
    <w:rsid w:val="00D36463"/>
    <w:pPr>
      <w:spacing w:after="0"/>
      <w:ind w:left="1760"/>
    </w:pPr>
    <w:rPr>
      <w:rFonts w:asciiTheme="minorHAnsi" w:hAnsiTheme="minorHAnsi" w:cstheme="minorHAnsi"/>
      <w:sz w:val="18"/>
      <w:szCs w:val="18"/>
    </w:rPr>
  </w:style>
  <w:style w:type="character" w:styleId="UnresolvedMention">
    <w:name w:val="Unresolved Mention"/>
    <w:basedOn w:val="DefaultParagraphFont"/>
    <w:uiPriority w:val="99"/>
    <w:semiHidden/>
    <w:unhideWhenUsed/>
    <w:rsid w:val="00F7046E"/>
    <w:rPr>
      <w:color w:val="605E5C"/>
      <w:shd w:val="clear" w:color="auto" w:fill="E1DFDD"/>
    </w:rPr>
  </w:style>
  <w:style w:type="character" w:styleId="Emphasis">
    <w:name w:val="Emphasis"/>
    <w:basedOn w:val="DefaultParagraphFont"/>
    <w:uiPriority w:val="20"/>
    <w:qFormat/>
    <w:rsid w:val="00B8501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47638">
      <w:bodyDiv w:val="1"/>
      <w:marLeft w:val="0"/>
      <w:marRight w:val="0"/>
      <w:marTop w:val="0"/>
      <w:marBottom w:val="0"/>
      <w:divBdr>
        <w:top w:val="none" w:sz="0" w:space="0" w:color="auto"/>
        <w:left w:val="none" w:sz="0" w:space="0" w:color="auto"/>
        <w:bottom w:val="none" w:sz="0" w:space="0" w:color="auto"/>
        <w:right w:val="none" w:sz="0" w:space="0" w:color="auto"/>
      </w:divBdr>
    </w:div>
    <w:div w:id="37122676">
      <w:bodyDiv w:val="1"/>
      <w:marLeft w:val="0"/>
      <w:marRight w:val="0"/>
      <w:marTop w:val="0"/>
      <w:marBottom w:val="0"/>
      <w:divBdr>
        <w:top w:val="none" w:sz="0" w:space="0" w:color="auto"/>
        <w:left w:val="none" w:sz="0" w:space="0" w:color="auto"/>
        <w:bottom w:val="none" w:sz="0" w:space="0" w:color="auto"/>
        <w:right w:val="none" w:sz="0" w:space="0" w:color="auto"/>
      </w:divBdr>
    </w:div>
    <w:div w:id="50543129">
      <w:bodyDiv w:val="1"/>
      <w:marLeft w:val="0"/>
      <w:marRight w:val="0"/>
      <w:marTop w:val="0"/>
      <w:marBottom w:val="0"/>
      <w:divBdr>
        <w:top w:val="none" w:sz="0" w:space="0" w:color="auto"/>
        <w:left w:val="none" w:sz="0" w:space="0" w:color="auto"/>
        <w:bottom w:val="none" w:sz="0" w:space="0" w:color="auto"/>
        <w:right w:val="none" w:sz="0" w:space="0" w:color="auto"/>
      </w:divBdr>
    </w:div>
    <w:div w:id="68385402">
      <w:bodyDiv w:val="1"/>
      <w:marLeft w:val="0"/>
      <w:marRight w:val="0"/>
      <w:marTop w:val="0"/>
      <w:marBottom w:val="0"/>
      <w:divBdr>
        <w:top w:val="none" w:sz="0" w:space="0" w:color="auto"/>
        <w:left w:val="none" w:sz="0" w:space="0" w:color="auto"/>
        <w:bottom w:val="none" w:sz="0" w:space="0" w:color="auto"/>
        <w:right w:val="none" w:sz="0" w:space="0" w:color="auto"/>
      </w:divBdr>
    </w:div>
    <w:div w:id="77753222">
      <w:bodyDiv w:val="1"/>
      <w:marLeft w:val="0"/>
      <w:marRight w:val="0"/>
      <w:marTop w:val="0"/>
      <w:marBottom w:val="0"/>
      <w:divBdr>
        <w:top w:val="none" w:sz="0" w:space="0" w:color="auto"/>
        <w:left w:val="none" w:sz="0" w:space="0" w:color="auto"/>
        <w:bottom w:val="none" w:sz="0" w:space="0" w:color="auto"/>
        <w:right w:val="none" w:sz="0" w:space="0" w:color="auto"/>
      </w:divBdr>
    </w:div>
    <w:div w:id="131100786">
      <w:bodyDiv w:val="1"/>
      <w:marLeft w:val="0"/>
      <w:marRight w:val="0"/>
      <w:marTop w:val="0"/>
      <w:marBottom w:val="0"/>
      <w:divBdr>
        <w:top w:val="none" w:sz="0" w:space="0" w:color="auto"/>
        <w:left w:val="none" w:sz="0" w:space="0" w:color="auto"/>
        <w:bottom w:val="none" w:sz="0" w:space="0" w:color="auto"/>
        <w:right w:val="none" w:sz="0" w:space="0" w:color="auto"/>
      </w:divBdr>
      <w:divsChild>
        <w:div w:id="138495996">
          <w:marLeft w:val="734"/>
          <w:marRight w:val="0"/>
          <w:marTop w:val="77"/>
          <w:marBottom w:val="0"/>
          <w:divBdr>
            <w:top w:val="none" w:sz="0" w:space="0" w:color="auto"/>
            <w:left w:val="none" w:sz="0" w:space="0" w:color="auto"/>
            <w:bottom w:val="none" w:sz="0" w:space="0" w:color="auto"/>
            <w:right w:val="none" w:sz="0" w:space="0" w:color="auto"/>
          </w:divBdr>
        </w:div>
        <w:div w:id="360208834">
          <w:marLeft w:val="1426"/>
          <w:marRight w:val="0"/>
          <w:marTop w:val="67"/>
          <w:marBottom w:val="0"/>
          <w:divBdr>
            <w:top w:val="none" w:sz="0" w:space="0" w:color="auto"/>
            <w:left w:val="none" w:sz="0" w:space="0" w:color="auto"/>
            <w:bottom w:val="none" w:sz="0" w:space="0" w:color="auto"/>
            <w:right w:val="none" w:sz="0" w:space="0" w:color="auto"/>
          </w:divBdr>
        </w:div>
        <w:div w:id="473959058">
          <w:marLeft w:val="734"/>
          <w:marRight w:val="0"/>
          <w:marTop w:val="77"/>
          <w:marBottom w:val="0"/>
          <w:divBdr>
            <w:top w:val="none" w:sz="0" w:space="0" w:color="auto"/>
            <w:left w:val="none" w:sz="0" w:space="0" w:color="auto"/>
            <w:bottom w:val="none" w:sz="0" w:space="0" w:color="auto"/>
            <w:right w:val="none" w:sz="0" w:space="0" w:color="auto"/>
          </w:divBdr>
        </w:div>
        <w:div w:id="930165218">
          <w:marLeft w:val="1426"/>
          <w:marRight w:val="0"/>
          <w:marTop w:val="67"/>
          <w:marBottom w:val="0"/>
          <w:divBdr>
            <w:top w:val="none" w:sz="0" w:space="0" w:color="auto"/>
            <w:left w:val="none" w:sz="0" w:space="0" w:color="auto"/>
            <w:bottom w:val="none" w:sz="0" w:space="0" w:color="auto"/>
            <w:right w:val="none" w:sz="0" w:space="0" w:color="auto"/>
          </w:divBdr>
        </w:div>
        <w:div w:id="1600138860">
          <w:marLeft w:val="1426"/>
          <w:marRight w:val="0"/>
          <w:marTop w:val="67"/>
          <w:marBottom w:val="0"/>
          <w:divBdr>
            <w:top w:val="none" w:sz="0" w:space="0" w:color="auto"/>
            <w:left w:val="none" w:sz="0" w:space="0" w:color="auto"/>
            <w:bottom w:val="none" w:sz="0" w:space="0" w:color="auto"/>
            <w:right w:val="none" w:sz="0" w:space="0" w:color="auto"/>
          </w:divBdr>
        </w:div>
        <w:div w:id="1872373316">
          <w:marLeft w:val="1426"/>
          <w:marRight w:val="0"/>
          <w:marTop w:val="67"/>
          <w:marBottom w:val="0"/>
          <w:divBdr>
            <w:top w:val="none" w:sz="0" w:space="0" w:color="auto"/>
            <w:left w:val="none" w:sz="0" w:space="0" w:color="auto"/>
            <w:bottom w:val="none" w:sz="0" w:space="0" w:color="auto"/>
            <w:right w:val="none" w:sz="0" w:space="0" w:color="auto"/>
          </w:divBdr>
        </w:div>
      </w:divsChild>
    </w:div>
    <w:div w:id="144395618">
      <w:bodyDiv w:val="1"/>
      <w:marLeft w:val="0"/>
      <w:marRight w:val="0"/>
      <w:marTop w:val="0"/>
      <w:marBottom w:val="0"/>
      <w:divBdr>
        <w:top w:val="none" w:sz="0" w:space="0" w:color="auto"/>
        <w:left w:val="none" w:sz="0" w:space="0" w:color="auto"/>
        <w:bottom w:val="none" w:sz="0" w:space="0" w:color="auto"/>
        <w:right w:val="none" w:sz="0" w:space="0" w:color="auto"/>
      </w:divBdr>
    </w:div>
    <w:div w:id="171729159">
      <w:bodyDiv w:val="1"/>
      <w:marLeft w:val="0"/>
      <w:marRight w:val="0"/>
      <w:marTop w:val="0"/>
      <w:marBottom w:val="0"/>
      <w:divBdr>
        <w:top w:val="none" w:sz="0" w:space="0" w:color="auto"/>
        <w:left w:val="none" w:sz="0" w:space="0" w:color="auto"/>
        <w:bottom w:val="none" w:sz="0" w:space="0" w:color="auto"/>
        <w:right w:val="none" w:sz="0" w:space="0" w:color="auto"/>
      </w:divBdr>
    </w:div>
    <w:div w:id="190070537">
      <w:bodyDiv w:val="1"/>
      <w:marLeft w:val="0"/>
      <w:marRight w:val="0"/>
      <w:marTop w:val="0"/>
      <w:marBottom w:val="0"/>
      <w:divBdr>
        <w:top w:val="none" w:sz="0" w:space="0" w:color="auto"/>
        <w:left w:val="none" w:sz="0" w:space="0" w:color="auto"/>
        <w:bottom w:val="none" w:sz="0" w:space="0" w:color="auto"/>
        <w:right w:val="none" w:sz="0" w:space="0" w:color="auto"/>
      </w:divBdr>
    </w:div>
    <w:div w:id="209464560">
      <w:bodyDiv w:val="1"/>
      <w:marLeft w:val="0"/>
      <w:marRight w:val="0"/>
      <w:marTop w:val="0"/>
      <w:marBottom w:val="0"/>
      <w:divBdr>
        <w:top w:val="none" w:sz="0" w:space="0" w:color="auto"/>
        <w:left w:val="none" w:sz="0" w:space="0" w:color="auto"/>
        <w:bottom w:val="none" w:sz="0" w:space="0" w:color="auto"/>
        <w:right w:val="none" w:sz="0" w:space="0" w:color="auto"/>
      </w:divBdr>
    </w:div>
    <w:div w:id="246114294">
      <w:bodyDiv w:val="1"/>
      <w:marLeft w:val="0"/>
      <w:marRight w:val="0"/>
      <w:marTop w:val="0"/>
      <w:marBottom w:val="0"/>
      <w:divBdr>
        <w:top w:val="none" w:sz="0" w:space="0" w:color="auto"/>
        <w:left w:val="none" w:sz="0" w:space="0" w:color="auto"/>
        <w:bottom w:val="none" w:sz="0" w:space="0" w:color="auto"/>
        <w:right w:val="none" w:sz="0" w:space="0" w:color="auto"/>
      </w:divBdr>
    </w:div>
    <w:div w:id="299923443">
      <w:bodyDiv w:val="1"/>
      <w:marLeft w:val="0"/>
      <w:marRight w:val="0"/>
      <w:marTop w:val="0"/>
      <w:marBottom w:val="0"/>
      <w:divBdr>
        <w:top w:val="none" w:sz="0" w:space="0" w:color="auto"/>
        <w:left w:val="none" w:sz="0" w:space="0" w:color="auto"/>
        <w:bottom w:val="none" w:sz="0" w:space="0" w:color="auto"/>
        <w:right w:val="none" w:sz="0" w:space="0" w:color="auto"/>
      </w:divBdr>
    </w:div>
    <w:div w:id="318460763">
      <w:bodyDiv w:val="1"/>
      <w:marLeft w:val="0"/>
      <w:marRight w:val="0"/>
      <w:marTop w:val="0"/>
      <w:marBottom w:val="0"/>
      <w:divBdr>
        <w:top w:val="none" w:sz="0" w:space="0" w:color="auto"/>
        <w:left w:val="none" w:sz="0" w:space="0" w:color="auto"/>
        <w:bottom w:val="none" w:sz="0" w:space="0" w:color="auto"/>
        <w:right w:val="none" w:sz="0" w:space="0" w:color="auto"/>
      </w:divBdr>
    </w:div>
    <w:div w:id="518081158">
      <w:bodyDiv w:val="1"/>
      <w:marLeft w:val="0"/>
      <w:marRight w:val="0"/>
      <w:marTop w:val="0"/>
      <w:marBottom w:val="0"/>
      <w:divBdr>
        <w:top w:val="none" w:sz="0" w:space="0" w:color="auto"/>
        <w:left w:val="none" w:sz="0" w:space="0" w:color="auto"/>
        <w:bottom w:val="none" w:sz="0" w:space="0" w:color="auto"/>
        <w:right w:val="none" w:sz="0" w:space="0" w:color="auto"/>
      </w:divBdr>
    </w:div>
    <w:div w:id="530848574">
      <w:bodyDiv w:val="1"/>
      <w:marLeft w:val="0"/>
      <w:marRight w:val="0"/>
      <w:marTop w:val="0"/>
      <w:marBottom w:val="0"/>
      <w:divBdr>
        <w:top w:val="none" w:sz="0" w:space="0" w:color="auto"/>
        <w:left w:val="none" w:sz="0" w:space="0" w:color="auto"/>
        <w:bottom w:val="none" w:sz="0" w:space="0" w:color="auto"/>
        <w:right w:val="none" w:sz="0" w:space="0" w:color="auto"/>
      </w:divBdr>
    </w:div>
    <w:div w:id="586698381">
      <w:bodyDiv w:val="1"/>
      <w:marLeft w:val="0"/>
      <w:marRight w:val="0"/>
      <w:marTop w:val="0"/>
      <w:marBottom w:val="0"/>
      <w:divBdr>
        <w:top w:val="none" w:sz="0" w:space="0" w:color="auto"/>
        <w:left w:val="none" w:sz="0" w:space="0" w:color="auto"/>
        <w:bottom w:val="none" w:sz="0" w:space="0" w:color="auto"/>
        <w:right w:val="none" w:sz="0" w:space="0" w:color="auto"/>
      </w:divBdr>
    </w:div>
    <w:div w:id="610354805">
      <w:bodyDiv w:val="1"/>
      <w:marLeft w:val="0"/>
      <w:marRight w:val="0"/>
      <w:marTop w:val="0"/>
      <w:marBottom w:val="0"/>
      <w:divBdr>
        <w:top w:val="none" w:sz="0" w:space="0" w:color="auto"/>
        <w:left w:val="none" w:sz="0" w:space="0" w:color="auto"/>
        <w:bottom w:val="none" w:sz="0" w:space="0" w:color="auto"/>
        <w:right w:val="none" w:sz="0" w:space="0" w:color="auto"/>
      </w:divBdr>
    </w:div>
    <w:div w:id="627054549">
      <w:bodyDiv w:val="1"/>
      <w:marLeft w:val="0"/>
      <w:marRight w:val="0"/>
      <w:marTop w:val="0"/>
      <w:marBottom w:val="0"/>
      <w:divBdr>
        <w:top w:val="none" w:sz="0" w:space="0" w:color="auto"/>
        <w:left w:val="none" w:sz="0" w:space="0" w:color="auto"/>
        <w:bottom w:val="none" w:sz="0" w:space="0" w:color="auto"/>
        <w:right w:val="none" w:sz="0" w:space="0" w:color="auto"/>
      </w:divBdr>
    </w:div>
    <w:div w:id="703364472">
      <w:bodyDiv w:val="1"/>
      <w:marLeft w:val="0"/>
      <w:marRight w:val="0"/>
      <w:marTop w:val="0"/>
      <w:marBottom w:val="0"/>
      <w:divBdr>
        <w:top w:val="none" w:sz="0" w:space="0" w:color="auto"/>
        <w:left w:val="none" w:sz="0" w:space="0" w:color="auto"/>
        <w:bottom w:val="none" w:sz="0" w:space="0" w:color="auto"/>
        <w:right w:val="none" w:sz="0" w:space="0" w:color="auto"/>
      </w:divBdr>
    </w:div>
    <w:div w:id="989598947">
      <w:bodyDiv w:val="1"/>
      <w:marLeft w:val="0"/>
      <w:marRight w:val="0"/>
      <w:marTop w:val="0"/>
      <w:marBottom w:val="0"/>
      <w:divBdr>
        <w:top w:val="none" w:sz="0" w:space="0" w:color="auto"/>
        <w:left w:val="none" w:sz="0" w:space="0" w:color="auto"/>
        <w:bottom w:val="none" w:sz="0" w:space="0" w:color="auto"/>
        <w:right w:val="none" w:sz="0" w:space="0" w:color="auto"/>
      </w:divBdr>
    </w:div>
    <w:div w:id="1048720943">
      <w:bodyDiv w:val="1"/>
      <w:marLeft w:val="0"/>
      <w:marRight w:val="0"/>
      <w:marTop w:val="0"/>
      <w:marBottom w:val="0"/>
      <w:divBdr>
        <w:top w:val="none" w:sz="0" w:space="0" w:color="auto"/>
        <w:left w:val="none" w:sz="0" w:space="0" w:color="auto"/>
        <w:bottom w:val="none" w:sz="0" w:space="0" w:color="auto"/>
        <w:right w:val="none" w:sz="0" w:space="0" w:color="auto"/>
      </w:divBdr>
    </w:div>
    <w:div w:id="1055815591">
      <w:bodyDiv w:val="1"/>
      <w:marLeft w:val="0"/>
      <w:marRight w:val="0"/>
      <w:marTop w:val="0"/>
      <w:marBottom w:val="0"/>
      <w:divBdr>
        <w:top w:val="none" w:sz="0" w:space="0" w:color="auto"/>
        <w:left w:val="none" w:sz="0" w:space="0" w:color="auto"/>
        <w:bottom w:val="none" w:sz="0" w:space="0" w:color="auto"/>
        <w:right w:val="none" w:sz="0" w:space="0" w:color="auto"/>
      </w:divBdr>
    </w:div>
    <w:div w:id="1088699556">
      <w:bodyDiv w:val="1"/>
      <w:marLeft w:val="0"/>
      <w:marRight w:val="0"/>
      <w:marTop w:val="0"/>
      <w:marBottom w:val="0"/>
      <w:divBdr>
        <w:top w:val="none" w:sz="0" w:space="0" w:color="auto"/>
        <w:left w:val="none" w:sz="0" w:space="0" w:color="auto"/>
        <w:bottom w:val="none" w:sz="0" w:space="0" w:color="auto"/>
        <w:right w:val="none" w:sz="0" w:space="0" w:color="auto"/>
      </w:divBdr>
    </w:div>
    <w:div w:id="1205562785">
      <w:bodyDiv w:val="1"/>
      <w:marLeft w:val="0"/>
      <w:marRight w:val="0"/>
      <w:marTop w:val="0"/>
      <w:marBottom w:val="0"/>
      <w:divBdr>
        <w:top w:val="none" w:sz="0" w:space="0" w:color="auto"/>
        <w:left w:val="none" w:sz="0" w:space="0" w:color="auto"/>
        <w:bottom w:val="none" w:sz="0" w:space="0" w:color="auto"/>
        <w:right w:val="none" w:sz="0" w:space="0" w:color="auto"/>
      </w:divBdr>
    </w:div>
    <w:div w:id="1215896612">
      <w:bodyDiv w:val="1"/>
      <w:marLeft w:val="0"/>
      <w:marRight w:val="0"/>
      <w:marTop w:val="0"/>
      <w:marBottom w:val="0"/>
      <w:divBdr>
        <w:top w:val="none" w:sz="0" w:space="0" w:color="auto"/>
        <w:left w:val="none" w:sz="0" w:space="0" w:color="auto"/>
        <w:bottom w:val="none" w:sz="0" w:space="0" w:color="auto"/>
        <w:right w:val="none" w:sz="0" w:space="0" w:color="auto"/>
      </w:divBdr>
    </w:div>
    <w:div w:id="1311248572">
      <w:bodyDiv w:val="1"/>
      <w:marLeft w:val="0"/>
      <w:marRight w:val="0"/>
      <w:marTop w:val="0"/>
      <w:marBottom w:val="0"/>
      <w:divBdr>
        <w:top w:val="none" w:sz="0" w:space="0" w:color="auto"/>
        <w:left w:val="none" w:sz="0" w:space="0" w:color="auto"/>
        <w:bottom w:val="none" w:sz="0" w:space="0" w:color="auto"/>
        <w:right w:val="none" w:sz="0" w:space="0" w:color="auto"/>
      </w:divBdr>
    </w:div>
    <w:div w:id="1362511307">
      <w:bodyDiv w:val="1"/>
      <w:marLeft w:val="0"/>
      <w:marRight w:val="0"/>
      <w:marTop w:val="0"/>
      <w:marBottom w:val="0"/>
      <w:divBdr>
        <w:top w:val="none" w:sz="0" w:space="0" w:color="auto"/>
        <w:left w:val="none" w:sz="0" w:space="0" w:color="auto"/>
        <w:bottom w:val="none" w:sz="0" w:space="0" w:color="auto"/>
        <w:right w:val="none" w:sz="0" w:space="0" w:color="auto"/>
      </w:divBdr>
    </w:div>
    <w:div w:id="1375349270">
      <w:bodyDiv w:val="1"/>
      <w:marLeft w:val="0"/>
      <w:marRight w:val="0"/>
      <w:marTop w:val="0"/>
      <w:marBottom w:val="0"/>
      <w:divBdr>
        <w:top w:val="none" w:sz="0" w:space="0" w:color="auto"/>
        <w:left w:val="none" w:sz="0" w:space="0" w:color="auto"/>
        <w:bottom w:val="none" w:sz="0" w:space="0" w:color="auto"/>
        <w:right w:val="none" w:sz="0" w:space="0" w:color="auto"/>
      </w:divBdr>
    </w:div>
    <w:div w:id="1617785988">
      <w:bodyDiv w:val="1"/>
      <w:marLeft w:val="0"/>
      <w:marRight w:val="0"/>
      <w:marTop w:val="0"/>
      <w:marBottom w:val="0"/>
      <w:divBdr>
        <w:top w:val="none" w:sz="0" w:space="0" w:color="auto"/>
        <w:left w:val="none" w:sz="0" w:space="0" w:color="auto"/>
        <w:bottom w:val="none" w:sz="0" w:space="0" w:color="auto"/>
        <w:right w:val="none" w:sz="0" w:space="0" w:color="auto"/>
      </w:divBdr>
    </w:div>
    <w:div w:id="1733121128">
      <w:bodyDiv w:val="1"/>
      <w:marLeft w:val="0"/>
      <w:marRight w:val="0"/>
      <w:marTop w:val="0"/>
      <w:marBottom w:val="0"/>
      <w:divBdr>
        <w:top w:val="none" w:sz="0" w:space="0" w:color="auto"/>
        <w:left w:val="none" w:sz="0" w:space="0" w:color="auto"/>
        <w:bottom w:val="none" w:sz="0" w:space="0" w:color="auto"/>
        <w:right w:val="none" w:sz="0" w:space="0" w:color="auto"/>
      </w:divBdr>
      <w:divsChild>
        <w:div w:id="74211858">
          <w:marLeft w:val="734"/>
          <w:marRight w:val="0"/>
          <w:marTop w:val="77"/>
          <w:marBottom w:val="0"/>
          <w:divBdr>
            <w:top w:val="none" w:sz="0" w:space="0" w:color="auto"/>
            <w:left w:val="none" w:sz="0" w:space="0" w:color="auto"/>
            <w:bottom w:val="none" w:sz="0" w:space="0" w:color="auto"/>
            <w:right w:val="none" w:sz="0" w:space="0" w:color="auto"/>
          </w:divBdr>
        </w:div>
        <w:div w:id="313414213">
          <w:marLeft w:val="734"/>
          <w:marRight w:val="0"/>
          <w:marTop w:val="77"/>
          <w:marBottom w:val="0"/>
          <w:divBdr>
            <w:top w:val="none" w:sz="0" w:space="0" w:color="auto"/>
            <w:left w:val="none" w:sz="0" w:space="0" w:color="auto"/>
            <w:bottom w:val="none" w:sz="0" w:space="0" w:color="auto"/>
            <w:right w:val="none" w:sz="0" w:space="0" w:color="auto"/>
          </w:divBdr>
        </w:div>
        <w:div w:id="364140868">
          <w:marLeft w:val="734"/>
          <w:marRight w:val="0"/>
          <w:marTop w:val="77"/>
          <w:marBottom w:val="0"/>
          <w:divBdr>
            <w:top w:val="none" w:sz="0" w:space="0" w:color="auto"/>
            <w:left w:val="none" w:sz="0" w:space="0" w:color="auto"/>
            <w:bottom w:val="none" w:sz="0" w:space="0" w:color="auto"/>
            <w:right w:val="none" w:sz="0" w:space="0" w:color="auto"/>
          </w:divBdr>
        </w:div>
        <w:div w:id="504980199">
          <w:marLeft w:val="1426"/>
          <w:marRight w:val="0"/>
          <w:marTop w:val="67"/>
          <w:marBottom w:val="0"/>
          <w:divBdr>
            <w:top w:val="none" w:sz="0" w:space="0" w:color="auto"/>
            <w:left w:val="none" w:sz="0" w:space="0" w:color="auto"/>
            <w:bottom w:val="none" w:sz="0" w:space="0" w:color="auto"/>
            <w:right w:val="none" w:sz="0" w:space="0" w:color="auto"/>
          </w:divBdr>
        </w:div>
        <w:div w:id="527371996">
          <w:marLeft w:val="734"/>
          <w:marRight w:val="0"/>
          <w:marTop w:val="77"/>
          <w:marBottom w:val="0"/>
          <w:divBdr>
            <w:top w:val="none" w:sz="0" w:space="0" w:color="auto"/>
            <w:left w:val="none" w:sz="0" w:space="0" w:color="auto"/>
            <w:bottom w:val="none" w:sz="0" w:space="0" w:color="auto"/>
            <w:right w:val="none" w:sz="0" w:space="0" w:color="auto"/>
          </w:divBdr>
        </w:div>
        <w:div w:id="685517834">
          <w:marLeft w:val="734"/>
          <w:marRight w:val="0"/>
          <w:marTop w:val="77"/>
          <w:marBottom w:val="0"/>
          <w:divBdr>
            <w:top w:val="none" w:sz="0" w:space="0" w:color="auto"/>
            <w:left w:val="none" w:sz="0" w:space="0" w:color="auto"/>
            <w:bottom w:val="none" w:sz="0" w:space="0" w:color="auto"/>
            <w:right w:val="none" w:sz="0" w:space="0" w:color="auto"/>
          </w:divBdr>
        </w:div>
        <w:div w:id="1116755958">
          <w:marLeft w:val="1426"/>
          <w:marRight w:val="0"/>
          <w:marTop w:val="67"/>
          <w:marBottom w:val="0"/>
          <w:divBdr>
            <w:top w:val="none" w:sz="0" w:space="0" w:color="auto"/>
            <w:left w:val="none" w:sz="0" w:space="0" w:color="auto"/>
            <w:bottom w:val="none" w:sz="0" w:space="0" w:color="auto"/>
            <w:right w:val="none" w:sz="0" w:space="0" w:color="auto"/>
          </w:divBdr>
        </w:div>
        <w:div w:id="1301887594">
          <w:marLeft w:val="734"/>
          <w:marRight w:val="0"/>
          <w:marTop w:val="77"/>
          <w:marBottom w:val="0"/>
          <w:divBdr>
            <w:top w:val="none" w:sz="0" w:space="0" w:color="auto"/>
            <w:left w:val="none" w:sz="0" w:space="0" w:color="auto"/>
            <w:bottom w:val="none" w:sz="0" w:space="0" w:color="auto"/>
            <w:right w:val="none" w:sz="0" w:space="0" w:color="auto"/>
          </w:divBdr>
        </w:div>
        <w:div w:id="1588075908">
          <w:marLeft w:val="734"/>
          <w:marRight w:val="0"/>
          <w:marTop w:val="77"/>
          <w:marBottom w:val="0"/>
          <w:divBdr>
            <w:top w:val="none" w:sz="0" w:space="0" w:color="auto"/>
            <w:left w:val="none" w:sz="0" w:space="0" w:color="auto"/>
            <w:bottom w:val="none" w:sz="0" w:space="0" w:color="auto"/>
            <w:right w:val="none" w:sz="0" w:space="0" w:color="auto"/>
          </w:divBdr>
        </w:div>
        <w:div w:id="1841122225">
          <w:marLeft w:val="1426"/>
          <w:marRight w:val="0"/>
          <w:marTop w:val="67"/>
          <w:marBottom w:val="0"/>
          <w:divBdr>
            <w:top w:val="none" w:sz="0" w:space="0" w:color="auto"/>
            <w:left w:val="none" w:sz="0" w:space="0" w:color="auto"/>
            <w:bottom w:val="none" w:sz="0" w:space="0" w:color="auto"/>
            <w:right w:val="none" w:sz="0" w:space="0" w:color="auto"/>
          </w:divBdr>
        </w:div>
        <w:div w:id="2054649888">
          <w:marLeft w:val="1426"/>
          <w:marRight w:val="0"/>
          <w:marTop w:val="67"/>
          <w:marBottom w:val="0"/>
          <w:divBdr>
            <w:top w:val="none" w:sz="0" w:space="0" w:color="auto"/>
            <w:left w:val="none" w:sz="0" w:space="0" w:color="auto"/>
            <w:bottom w:val="none" w:sz="0" w:space="0" w:color="auto"/>
            <w:right w:val="none" w:sz="0" w:space="0" w:color="auto"/>
          </w:divBdr>
        </w:div>
      </w:divsChild>
    </w:div>
    <w:div w:id="1742941962">
      <w:bodyDiv w:val="1"/>
      <w:marLeft w:val="0"/>
      <w:marRight w:val="0"/>
      <w:marTop w:val="0"/>
      <w:marBottom w:val="0"/>
      <w:divBdr>
        <w:top w:val="none" w:sz="0" w:space="0" w:color="auto"/>
        <w:left w:val="none" w:sz="0" w:space="0" w:color="auto"/>
        <w:bottom w:val="none" w:sz="0" w:space="0" w:color="auto"/>
        <w:right w:val="none" w:sz="0" w:space="0" w:color="auto"/>
      </w:divBdr>
    </w:div>
    <w:div w:id="1747921383">
      <w:bodyDiv w:val="1"/>
      <w:marLeft w:val="0"/>
      <w:marRight w:val="0"/>
      <w:marTop w:val="0"/>
      <w:marBottom w:val="0"/>
      <w:divBdr>
        <w:top w:val="none" w:sz="0" w:space="0" w:color="auto"/>
        <w:left w:val="none" w:sz="0" w:space="0" w:color="auto"/>
        <w:bottom w:val="none" w:sz="0" w:space="0" w:color="auto"/>
        <w:right w:val="none" w:sz="0" w:space="0" w:color="auto"/>
      </w:divBdr>
    </w:div>
    <w:div w:id="1849786022">
      <w:bodyDiv w:val="1"/>
      <w:marLeft w:val="0"/>
      <w:marRight w:val="0"/>
      <w:marTop w:val="0"/>
      <w:marBottom w:val="0"/>
      <w:divBdr>
        <w:top w:val="none" w:sz="0" w:space="0" w:color="auto"/>
        <w:left w:val="none" w:sz="0" w:space="0" w:color="auto"/>
        <w:bottom w:val="none" w:sz="0" w:space="0" w:color="auto"/>
        <w:right w:val="none" w:sz="0" w:space="0" w:color="auto"/>
      </w:divBdr>
    </w:div>
    <w:div w:id="1857500495">
      <w:bodyDiv w:val="1"/>
      <w:marLeft w:val="0"/>
      <w:marRight w:val="0"/>
      <w:marTop w:val="0"/>
      <w:marBottom w:val="0"/>
      <w:divBdr>
        <w:top w:val="none" w:sz="0" w:space="0" w:color="auto"/>
        <w:left w:val="none" w:sz="0" w:space="0" w:color="auto"/>
        <w:bottom w:val="none" w:sz="0" w:space="0" w:color="auto"/>
        <w:right w:val="none" w:sz="0" w:space="0" w:color="auto"/>
      </w:divBdr>
    </w:div>
    <w:div w:id="19771779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9.png"/><Relationship Id="rId31"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2.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2B0FE1B6-4952-4A57-8F92-6664309BA2D2}">
  <we:reference id="wa200000113" version="1.0.0.0" store="en-US" storeType="OMEX"/>
  <we:alternateReferences>
    <we:reference id="WA200000113" version="1.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8E5F8D71199BF4B92F5E9C1495046F9" ma:contentTypeVersion="12" ma:contentTypeDescription="Create a new document." ma:contentTypeScope="" ma:versionID="80825323a24c89e61cddc58c1f53256c">
  <xsd:schema xmlns:xsd="http://www.w3.org/2001/XMLSchema" xmlns:xs="http://www.w3.org/2001/XMLSchema" xmlns:p="http://schemas.microsoft.com/office/2006/metadata/properties" xmlns:ns2="40ce4673-74cc-45c9-81aa-9c2016c8ac30" xmlns:ns3="e744d1c7-7711-4dee-a3aa-648ee8750ab9" targetNamespace="http://schemas.microsoft.com/office/2006/metadata/properties" ma:root="true" ma:fieldsID="aec48f0230a69c983b3dab9a0cfafcd8" ns2:_="" ns3:_="">
    <xsd:import namespace="40ce4673-74cc-45c9-81aa-9c2016c8ac30"/>
    <xsd:import namespace="e744d1c7-7711-4dee-a3aa-648ee8750ab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OCR" minOccurs="0"/>
                <xsd:element ref="ns2:MediaServiceDateTaken" minOccurs="0"/>
                <xsd:element ref="ns2:MediaServiceGenerationTime" minOccurs="0"/>
                <xsd:element ref="ns2:MediaServiceEventHashCode" minOccurs="0"/>
                <xsd:element ref="ns2:MediaServiceLocation"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ce4673-74cc-45c9-81aa-9c2016c8ac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744d1c7-7711-4dee-a3aa-648ee8750ab9"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EE7F1D-014D-4AFB-A288-C1A14B64770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9791B0B-5C9B-483D-8272-AD38BF727A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ce4673-74cc-45c9-81aa-9c2016c8ac30"/>
    <ds:schemaRef ds:uri="e744d1c7-7711-4dee-a3aa-648ee8750a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DA87C2-6376-4FBC-A762-55560EE126B5}">
  <ds:schemaRefs>
    <ds:schemaRef ds:uri="http://schemas.microsoft.com/sharepoint/v3/contenttype/forms"/>
  </ds:schemaRefs>
</ds:datastoreItem>
</file>

<file path=customXml/itemProps4.xml><?xml version="1.0" encoding="utf-8"?>
<ds:datastoreItem xmlns:ds="http://schemas.openxmlformats.org/officeDocument/2006/customXml" ds:itemID="{383CEC30-3E77-4116-A23E-F4FBC9EBE1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Pages>
  <Words>2543</Words>
  <Characters>13736</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rados.petrovic</dc:creator>
  <cp:keywords/>
  <dc:description/>
  <cp:lastModifiedBy>Felipe Santos</cp:lastModifiedBy>
  <cp:revision>190</cp:revision>
  <cp:lastPrinted>2023-08-07T18:48:00Z</cp:lastPrinted>
  <dcterms:created xsi:type="dcterms:W3CDTF">2023-08-03T14:20:00Z</dcterms:created>
  <dcterms:modified xsi:type="dcterms:W3CDTF">2023-08-07T19:19:00Z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0x010100D8E5F8D71199BF4B92F5E9C1495046F9</vt:lpwstr>
  </property>
</Properties>
</file>